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_GB2312" w:hAnsi="黑体" w:eastAsia="仿宋_GB2312" w:cs="Times New Roman"/>
          <w:b/>
          <w:bCs/>
          <w:kern w:val="0"/>
          <w:sz w:val="32"/>
          <w:szCs w:val="32"/>
          <w:highlight w:val="none"/>
          <w:lang w:val="en-US" w:eastAsia="zh-CN"/>
        </w:rPr>
      </w:pPr>
      <w:r>
        <w:rPr>
          <w:rFonts w:hint="eastAsia" w:ascii="仿宋_GB2312" w:hAnsi="黑体" w:eastAsia="仿宋_GB2312" w:cs="Times New Roman"/>
          <w:b/>
          <w:bCs/>
          <w:kern w:val="0"/>
          <w:sz w:val="32"/>
          <w:szCs w:val="32"/>
          <w:highlight w:val="none"/>
          <w:lang w:val="en-US" w:eastAsia="zh-CN"/>
        </w:rPr>
        <w:t>成都轨道城市投资集团有限公司及成都城投置地（集团）</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_GB2312" w:hAnsi="黑体" w:eastAsia="仿宋_GB2312" w:cs="Times New Roman"/>
          <w:b/>
          <w:bCs/>
          <w:kern w:val="0"/>
          <w:sz w:val="32"/>
          <w:szCs w:val="32"/>
          <w:highlight w:val="none"/>
          <w:lang w:val="en-US" w:eastAsia="zh-CN"/>
        </w:rPr>
      </w:pPr>
      <w:r>
        <w:rPr>
          <w:rFonts w:hint="eastAsia" w:ascii="仿宋_GB2312" w:hAnsi="黑体" w:eastAsia="仿宋_GB2312" w:cs="Times New Roman"/>
          <w:b/>
          <w:bCs/>
          <w:kern w:val="0"/>
          <w:sz w:val="32"/>
          <w:szCs w:val="32"/>
          <w:highlight w:val="none"/>
          <w:lang w:val="en-US" w:eastAsia="zh-CN"/>
        </w:rPr>
        <w:t>有限公司2023-2024年度开发项目住宅燃气采暖热水炉</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jc w:val="center"/>
        <w:textAlignment w:val="auto"/>
        <w:rPr>
          <w:rFonts w:hint="eastAsia" w:ascii="仿宋_GB2312" w:hAnsi="黑体" w:eastAsia="仿宋_GB2312" w:cs="Times New Roman"/>
          <w:b/>
          <w:bCs/>
          <w:kern w:val="0"/>
          <w:sz w:val="32"/>
          <w:szCs w:val="32"/>
          <w:highlight w:val="none"/>
          <w:lang w:val="en-US" w:eastAsia="zh-CN"/>
        </w:rPr>
      </w:pPr>
      <w:r>
        <w:rPr>
          <w:rFonts w:hint="eastAsia" w:ascii="仿宋_GB2312" w:hAnsi="黑体" w:eastAsia="仿宋_GB2312" w:cs="Times New Roman"/>
          <w:b/>
          <w:bCs/>
          <w:kern w:val="0"/>
          <w:sz w:val="32"/>
          <w:szCs w:val="32"/>
          <w:highlight w:val="none"/>
          <w:lang w:val="en-US" w:eastAsia="zh-CN"/>
        </w:rPr>
        <w:t>集中采购/标段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ascii="仿宋_GB2312" w:hAnsi="黑体" w:eastAsia="仿宋_GB2312" w:cs="Times New Roman"/>
          <w:b/>
          <w:bCs/>
          <w:kern w:val="0"/>
          <w:sz w:val="32"/>
          <w:szCs w:val="32"/>
          <w:highlight w:val="none"/>
          <w:lang w:val="en-US" w:eastAsia="zh-CN"/>
        </w:rPr>
      </w:pPr>
      <w:r>
        <w:rPr>
          <w:rFonts w:hint="eastAsia" w:ascii="仿宋_GB2312" w:hAnsi="黑体" w:eastAsia="仿宋_GB2312" w:cs="Times New Roman"/>
          <w:b/>
          <w:bCs/>
          <w:kern w:val="0"/>
          <w:sz w:val="32"/>
          <w:szCs w:val="32"/>
          <w:highlight w:val="none"/>
          <w:lang w:val="en-US" w:eastAsia="zh-CN"/>
        </w:rPr>
        <w:t>补遗文件</w:t>
      </w:r>
    </w:p>
    <w:p>
      <w:pPr>
        <w:pStyle w:val="2"/>
        <w:ind w:firstLine="640" w:firstLineChars="200"/>
        <w:rPr>
          <w:rFonts w:hint="eastAsia" w:ascii="仿宋_GB2312" w:hAnsi="黑体" w:eastAsia="仿宋_GB2312" w:cs="Times New Roman"/>
          <w:kern w:val="0"/>
          <w:sz w:val="32"/>
          <w:szCs w:val="32"/>
          <w:highlight w:val="none"/>
          <w:lang w:val="en-US" w:eastAsia="zh-CN"/>
        </w:rPr>
      </w:pPr>
      <w:r>
        <w:rPr>
          <w:rFonts w:hint="eastAsia" w:ascii="仿宋_GB2312" w:hAnsi="黑体" w:eastAsia="仿宋_GB2312" w:cs="Times New Roman"/>
          <w:kern w:val="0"/>
          <w:sz w:val="32"/>
          <w:szCs w:val="32"/>
          <w:highlight w:val="none"/>
          <w:lang w:val="en-US" w:eastAsia="zh-CN"/>
        </w:rPr>
        <w:t>此内容作为资格预审文件不可分割的组成部分，与资格预审文件具有同等约束力，请申请人照此执行。</w:t>
      </w:r>
    </w:p>
    <w:p>
      <w:pPr>
        <w:rPr>
          <w:rFonts w:hint="eastAsia" w:ascii="仿宋_GB2312" w:hAnsi="黑体" w:eastAsia="仿宋_GB2312" w:cs="Times New Roman"/>
          <w:kern w:val="0"/>
          <w:sz w:val="32"/>
          <w:szCs w:val="32"/>
          <w:highlight w:val="none"/>
          <w:lang w:val="en-US" w:eastAsia="zh-CN"/>
        </w:rPr>
      </w:pPr>
    </w:p>
    <w:p>
      <w:pPr>
        <w:numPr>
          <w:ilvl w:val="0"/>
          <w:numId w:val="0"/>
        </w:numPr>
        <w:spacing w:line="360" w:lineRule="auto"/>
        <w:ind w:firstLine="640" w:firstLineChars="200"/>
        <w:jc w:val="right"/>
        <w:rPr>
          <w:rFonts w:hint="eastAsia" w:ascii="仿宋_GB2312" w:hAnsi="黑体" w:eastAsia="仿宋_GB2312" w:cs="Times New Roman"/>
          <w:kern w:val="0"/>
          <w:sz w:val="32"/>
          <w:szCs w:val="32"/>
          <w:highlight w:val="none"/>
          <w:lang w:val="en-US" w:eastAsia="zh-CN"/>
        </w:rPr>
      </w:pPr>
      <w:r>
        <w:rPr>
          <w:rFonts w:hint="eastAsia" w:ascii="仿宋_GB2312" w:hAnsi="黑体" w:eastAsia="仿宋_GB2312" w:cs="Times New Roman"/>
          <w:kern w:val="0"/>
          <w:sz w:val="32"/>
          <w:szCs w:val="32"/>
          <w:highlight w:val="none"/>
          <w:lang w:val="en-US" w:eastAsia="zh-CN"/>
        </w:rPr>
        <w:t>成都轨道城市投资集团有限公司</w:t>
      </w:r>
    </w:p>
    <w:p>
      <w:pPr>
        <w:pStyle w:val="2"/>
        <w:jc w:val="right"/>
        <w:rPr>
          <w:rFonts w:hint="default"/>
          <w:lang w:val="en-US" w:eastAsia="zh-CN"/>
        </w:rPr>
      </w:pPr>
    </w:p>
    <w:p>
      <w:pPr>
        <w:numPr>
          <w:ilvl w:val="0"/>
          <w:numId w:val="0"/>
        </w:numPr>
        <w:spacing w:line="360" w:lineRule="auto"/>
        <w:ind w:firstLine="640" w:firstLineChars="200"/>
        <w:jc w:val="right"/>
        <w:rPr>
          <w:rFonts w:hint="default" w:ascii="仿宋_GB2312" w:hAnsi="黑体" w:eastAsia="仿宋_GB2312" w:cs="Times New Roman"/>
          <w:kern w:val="0"/>
          <w:sz w:val="32"/>
          <w:szCs w:val="32"/>
          <w:highlight w:val="none"/>
          <w:lang w:val="en-US" w:eastAsia="zh-CN"/>
        </w:rPr>
      </w:pPr>
      <w:r>
        <w:rPr>
          <w:rFonts w:hint="default" w:ascii="仿宋_GB2312" w:hAnsi="黑体" w:eastAsia="仿宋_GB2312" w:cs="Times New Roman"/>
          <w:kern w:val="0"/>
          <w:sz w:val="32"/>
          <w:szCs w:val="32"/>
          <w:highlight w:val="none"/>
          <w:lang w:val="en-US" w:eastAsia="zh-CN"/>
        </w:rPr>
        <w:t>成都城投置地（集团）有限公司</w:t>
      </w:r>
    </w:p>
    <w:p>
      <w:pPr>
        <w:pStyle w:val="2"/>
        <w:rPr>
          <w:rFonts w:hint="default"/>
          <w:highlight w:val="none"/>
          <w:lang w:val="en-US" w:eastAsia="zh-CN"/>
        </w:rPr>
      </w:pPr>
    </w:p>
    <w:p>
      <w:pPr>
        <w:jc w:val="right"/>
        <w:rPr>
          <w:rFonts w:hint="eastAsia" w:ascii="仿宋_GB2312" w:hAnsi="黑体" w:eastAsia="仿宋_GB2312" w:cs="Times New Roman"/>
          <w:kern w:val="0"/>
          <w:sz w:val="32"/>
          <w:szCs w:val="32"/>
          <w:highlight w:val="none"/>
          <w:lang w:val="en-US" w:eastAsia="zh-CN"/>
        </w:rPr>
      </w:pPr>
      <w:r>
        <w:rPr>
          <w:rFonts w:hint="eastAsia" w:ascii="仿宋_GB2312" w:hAnsi="黑体" w:eastAsia="仿宋_GB2312" w:cs="Times New Roman"/>
          <w:kern w:val="0"/>
          <w:sz w:val="32"/>
          <w:szCs w:val="32"/>
          <w:highlight w:val="none"/>
          <w:lang w:val="en-US" w:eastAsia="zh-CN"/>
        </w:rPr>
        <w:t>2023年6月28日</w:t>
      </w:r>
      <w:r>
        <w:rPr>
          <w:rFonts w:hint="eastAsia" w:ascii="仿宋_GB2312" w:hAnsi="黑体" w:eastAsia="仿宋_GB2312" w:cs="Times New Roman"/>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_GB2312" w:hAnsi="黑体" w:eastAsia="仿宋_GB2312" w:cs="Times New Roman"/>
          <w:kern w:val="0"/>
          <w:sz w:val="32"/>
          <w:szCs w:val="32"/>
          <w:highlight w:val="none"/>
          <w:lang w:val="en-US" w:eastAsia="zh-CN"/>
        </w:rPr>
      </w:pPr>
      <w:r>
        <w:rPr>
          <w:rFonts w:hint="eastAsia" w:ascii="仿宋_GB2312" w:hAnsi="黑体" w:eastAsia="仿宋_GB2312" w:cs="Times New Roman"/>
          <w:kern w:val="0"/>
          <w:sz w:val="32"/>
          <w:szCs w:val="32"/>
          <w:highlight w:val="none"/>
          <w:lang w:val="en-US" w:eastAsia="zh-CN"/>
        </w:rPr>
        <w:t>各申请人：</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_GB2312" w:hAnsi="黑体" w:eastAsia="仿宋_GB2312" w:cs="Times New Roman"/>
          <w:kern w:val="0"/>
          <w:sz w:val="32"/>
          <w:szCs w:val="32"/>
          <w:highlight w:val="none"/>
          <w:lang w:val="en-US" w:eastAsia="zh-CN"/>
        </w:rPr>
      </w:pPr>
      <w:r>
        <w:rPr>
          <w:rFonts w:hint="eastAsia" w:ascii="仿宋_GB2312" w:hAnsi="黑体" w:eastAsia="仿宋_GB2312" w:cs="Times New Roman"/>
          <w:kern w:val="0"/>
          <w:sz w:val="32"/>
          <w:szCs w:val="32"/>
          <w:highlight w:val="none"/>
          <w:lang w:val="en-US" w:eastAsia="zh-CN"/>
        </w:rPr>
        <w:t>我公司对成都轨道城市投资集团有限公司及成都城投置地（集团）有限公司2023-2024年度开发项目住宅燃气采暖热水炉集中采购标段资格预审文件内容进行如下补遗：</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1.申请人须知前附表增加条款表10.19条调整为：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“本次由成都轨道城市投资集团有限公司、成都城投置地（集团）有限公司组织2023-2024年度开发项目住宅燃气采暖热水炉集中采购/标段招标，按招标流程确定最终中标单位。</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①非联合体投标的中标单位，由招标人成都轨道城市投资集团有限公司、成都城投置地（集团）有限公司分别与</w:t>
      </w:r>
      <w:r>
        <w:rPr>
          <w:rFonts w:hint="eastAsia" w:ascii="仿宋_GB2312" w:hAnsi="仿宋_GB2312" w:eastAsia="仿宋_GB2312" w:cs="仿宋_GB2312"/>
          <w:b/>
          <w:bCs/>
          <w:sz w:val="32"/>
          <w:szCs w:val="32"/>
          <w:lang w:val="en-US" w:eastAsia="zh-CN"/>
        </w:rPr>
        <w:t>中标人</w:t>
      </w:r>
      <w:r>
        <w:rPr>
          <w:rFonts w:hint="eastAsia" w:ascii="仿宋_GB2312" w:hAnsi="仿宋_GB2312" w:eastAsia="仿宋_GB2312" w:cs="仿宋_GB2312"/>
          <w:sz w:val="32"/>
          <w:szCs w:val="32"/>
          <w:lang w:val="en-US" w:eastAsia="zh-CN"/>
        </w:rPr>
        <w:t>签订集中采购协议，并由招标人、招标人代建业主或下属项目公司（全资或控股）与</w:t>
      </w:r>
      <w:r>
        <w:rPr>
          <w:rFonts w:hint="eastAsia" w:ascii="仿宋_GB2312" w:hAnsi="仿宋_GB2312" w:eastAsia="仿宋_GB2312" w:cs="仿宋_GB2312"/>
          <w:b/>
          <w:bCs/>
          <w:sz w:val="32"/>
          <w:szCs w:val="32"/>
          <w:lang w:val="en-US" w:eastAsia="zh-CN"/>
        </w:rPr>
        <w:t>中标人</w:t>
      </w:r>
      <w:r>
        <w:rPr>
          <w:rFonts w:hint="eastAsia" w:ascii="仿宋_GB2312" w:hAnsi="仿宋_GB2312" w:eastAsia="仿宋_GB2312" w:cs="仿宋_GB2312"/>
          <w:sz w:val="32"/>
          <w:szCs w:val="32"/>
          <w:lang w:val="en-US" w:eastAsia="zh-CN"/>
        </w:rPr>
        <w:t>签订具体项目合同，经双方法定代表人（单位负责人）或委托代理人签字并加盖公章后生效。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②联合体投标的中标单位，成都城投置地（集团）有限公司与</w:t>
      </w:r>
      <w:r>
        <w:rPr>
          <w:rFonts w:hint="eastAsia" w:ascii="仿宋_GB2312" w:hAnsi="仿宋_GB2312" w:eastAsia="仿宋_GB2312" w:cs="仿宋_GB2312"/>
          <w:b/>
          <w:bCs/>
          <w:sz w:val="32"/>
          <w:szCs w:val="32"/>
          <w:lang w:val="en-US" w:eastAsia="zh-CN"/>
        </w:rPr>
        <w:t>联合体牵头人</w:t>
      </w:r>
      <w:r>
        <w:rPr>
          <w:rFonts w:hint="eastAsia" w:ascii="仿宋_GB2312" w:hAnsi="仿宋_GB2312" w:eastAsia="仿宋_GB2312" w:cs="仿宋_GB2312"/>
          <w:sz w:val="32"/>
          <w:szCs w:val="32"/>
          <w:lang w:val="en-US" w:eastAsia="zh-CN"/>
        </w:rPr>
        <w:t>签订集中采购协议，并由成都城投置地（集团）有限公司、其代建业主或其下属项目公司（全资或控股）与</w:t>
      </w:r>
      <w:r>
        <w:rPr>
          <w:rFonts w:hint="eastAsia" w:ascii="仿宋_GB2312" w:hAnsi="仿宋_GB2312" w:eastAsia="仿宋_GB2312" w:cs="仿宋_GB2312"/>
          <w:b/>
          <w:bCs/>
          <w:sz w:val="32"/>
          <w:szCs w:val="32"/>
          <w:lang w:val="en-US" w:eastAsia="zh-CN"/>
        </w:rPr>
        <w:t>联合体牵头人或联合体其他成员（具体由联合体成员在联合体协议中进行约定）</w:t>
      </w:r>
      <w:r>
        <w:rPr>
          <w:rFonts w:hint="eastAsia" w:ascii="仿宋_GB2312" w:hAnsi="仿宋_GB2312" w:eastAsia="仿宋_GB2312" w:cs="仿宋_GB2312"/>
          <w:sz w:val="32"/>
          <w:szCs w:val="32"/>
          <w:lang w:val="en-US" w:eastAsia="zh-CN"/>
        </w:rPr>
        <w:t>签订具体项目合同，经双方法定代表人（单位负责人）或委托代理人签字并加盖公章后生效。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③联合体投标的中标单位，成都轨道城市投资集团有限公司与</w:t>
      </w:r>
      <w:r>
        <w:rPr>
          <w:rFonts w:hint="eastAsia" w:ascii="仿宋_GB2312" w:hAnsi="仿宋_GB2312" w:eastAsia="仿宋_GB2312" w:cs="仿宋_GB2312"/>
          <w:b/>
          <w:bCs/>
          <w:sz w:val="32"/>
          <w:szCs w:val="32"/>
          <w:lang w:val="en-US" w:eastAsia="zh-CN"/>
        </w:rPr>
        <w:t>联合体牵头人及成员</w:t>
      </w:r>
      <w:r>
        <w:rPr>
          <w:rFonts w:hint="eastAsia" w:ascii="仿宋_GB2312" w:hAnsi="仿宋_GB2312" w:eastAsia="仿宋_GB2312" w:cs="仿宋_GB2312"/>
          <w:sz w:val="32"/>
          <w:szCs w:val="32"/>
          <w:lang w:val="en-US" w:eastAsia="zh-CN"/>
        </w:rPr>
        <w:t>共同签订集中采购协议，并由成都轨道城市投资集团有限公司、其代建业主或其下属项目公司（全资或控股）与</w:t>
      </w:r>
      <w:r>
        <w:rPr>
          <w:rFonts w:hint="eastAsia" w:ascii="仿宋_GB2312" w:hAnsi="仿宋_GB2312" w:eastAsia="仿宋_GB2312" w:cs="仿宋_GB2312"/>
          <w:b/>
          <w:bCs/>
          <w:sz w:val="32"/>
          <w:szCs w:val="32"/>
          <w:lang w:val="en-US" w:eastAsia="zh-CN"/>
        </w:rPr>
        <w:t>联合体牵头人或联合体其他</w:t>
      </w:r>
      <w:r>
        <w:rPr>
          <w:rFonts w:hint="eastAsia" w:ascii="仿宋_GB2312" w:hAnsi="仿宋_GB2312" w:eastAsia="仿宋_GB2312" w:cs="仿宋_GB2312"/>
          <w:b/>
          <w:bCs/>
          <w:sz w:val="32"/>
          <w:szCs w:val="32"/>
          <w:highlight w:val="none"/>
          <w:lang w:val="en-US" w:eastAsia="zh-CN"/>
        </w:rPr>
        <w:t>成员或联合体牵头人和联合体其他成员共同</w:t>
      </w:r>
      <w:r>
        <w:rPr>
          <w:rFonts w:hint="eastAsia" w:ascii="仿宋_GB2312" w:hAnsi="仿宋_GB2312" w:eastAsia="仿宋_GB2312" w:cs="仿宋_GB2312"/>
          <w:b/>
          <w:bCs/>
          <w:sz w:val="32"/>
          <w:szCs w:val="32"/>
          <w:lang w:val="en-US" w:eastAsia="zh-CN"/>
        </w:rPr>
        <w:t>（具体由联合体成员在联合体协议中进行约定）</w:t>
      </w:r>
      <w:r>
        <w:rPr>
          <w:rFonts w:hint="eastAsia" w:ascii="仿宋_GB2312" w:hAnsi="仿宋_GB2312" w:eastAsia="仿宋_GB2312" w:cs="仿宋_GB2312"/>
          <w:sz w:val="32"/>
          <w:szCs w:val="32"/>
          <w:lang w:val="en-US" w:eastAsia="zh-CN"/>
        </w:rPr>
        <w:t>签订具体项目合同，经双方法定代表人（单位负责人）或委托代理人签字并加盖公章后生效。”</w:t>
      </w:r>
    </w:p>
    <w:p>
      <w:pPr>
        <w:ind w:firstLine="640" w:firstLineChars="200"/>
        <w:rPr>
          <w:rFonts w:hint="eastAsia" w:ascii="仿宋_GB2312" w:hAnsi="仿宋_GB2312" w:eastAsia="仿宋_GB2312" w:cs="仿宋_GB2312"/>
          <w:sz w:val="32"/>
          <w:szCs w:val="32"/>
          <w:lang w:val="en-US" w:eastAsia="zh-CN"/>
        </w:rPr>
      </w:pPr>
      <w:bookmarkStart w:id="0" w:name="_Toc22172"/>
      <w:r>
        <w:rPr>
          <w:rFonts w:hint="eastAsia" w:ascii="仿宋_GB2312" w:hAnsi="仿宋_GB2312" w:eastAsia="仿宋_GB2312" w:cs="仿宋_GB2312"/>
          <w:sz w:val="32"/>
          <w:szCs w:val="32"/>
          <w:lang w:val="en-US" w:eastAsia="zh-CN"/>
        </w:rPr>
        <w:t>2.第三章资格审查办法2.3评分标准“企业业绩”证明材料和第四章资格预审申请文件格式《（三）资格预审自评情况表》中企业业绩证明材料由“证明材料：详见第四章《资格预审申请文件》</w:t>
      </w:r>
      <w:r>
        <w:rPr>
          <w:rFonts w:hint="eastAsia" w:ascii="仿宋_GB2312" w:hAnsi="仿宋_GB2312" w:eastAsia="仿宋_GB2312" w:cs="仿宋_GB2312"/>
          <w:b/>
          <w:bCs/>
          <w:sz w:val="32"/>
          <w:szCs w:val="32"/>
          <w:lang w:val="en-US" w:eastAsia="zh-CN"/>
        </w:rPr>
        <w:t>第十部分</w:t>
      </w:r>
      <w:r>
        <w:rPr>
          <w:rFonts w:hint="eastAsia" w:ascii="仿宋_GB2312" w:hAnsi="仿宋_GB2312" w:eastAsia="仿宋_GB2312" w:cs="仿宋_GB2312"/>
          <w:sz w:val="32"/>
          <w:szCs w:val="32"/>
          <w:lang w:val="en-US" w:eastAsia="zh-CN"/>
        </w:rPr>
        <w:t>类似工程业绩表中证明材料的要求。所提供业绩的产品品牌须与申请人申请本项目的产品品牌一致。拟投标国产两用型非冷凝炉24KW产品型号须与第四章《资格预审申请文件》</w:t>
      </w:r>
      <w:r>
        <w:rPr>
          <w:rFonts w:hint="eastAsia" w:ascii="仿宋_GB2312" w:hAnsi="仿宋_GB2312" w:eastAsia="仿宋_GB2312" w:cs="仿宋_GB2312"/>
          <w:b/>
          <w:bCs/>
          <w:sz w:val="32"/>
          <w:szCs w:val="32"/>
          <w:lang w:val="en-US" w:eastAsia="zh-CN"/>
        </w:rPr>
        <w:t>第八部分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投标货物技术性能的响应</w:t>
      </w:r>
      <w:r>
        <w:rPr>
          <w:rFonts w:hint="eastAsia" w:ascii="仿宋_GB2312" w:hAnsi="仿宋_GB2312" w:eastAsia="仿宋_GB2312" w:cs="仿宋_GB2312"/>
          <w:sz w:val="32"/>
          <w:szCs w:val="32"/>
          <w:lang w:val="en-US" w:eastAsia="zh-CN"/>
        </w:rPr>
        <w:t>》中的型号一致。”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“证明材料：详见第四章《资格预审申请文件》</w:t>
      </w:r>
      <w:r>
        <w:rPr>
          <w:rFonts w:hint="eastAsia" w:ascii="仿宋_GB2312" w:hAnsi="仿宋_GB2312" w:eastAsia="仿宋_GB2312" w:cs="仿宋_GB2312"/>
          <w:b/>
          <w:bCs/>
          <w:sz w:val="32"/>
          <w:szCs w:val="32"/>
          <w:lang w:val="en-US" w:eastAsia="zh-CN"/>
        </w:rPr>
        <w:t>第十一部分</w:t>
      </w:r>
      <w:r>
        <w:rPr>
          <w:rFonts w:hint="eastAsia" w:ascii="仿宋_GB2312" w:hAnsi="仿宋_GB2312" w:eastAsia="仿宋_GB2312" w:cs="仿宋_GB2312"/>
          <w:sz w:val="32"/>
          <w:szCs w:val="32"/>
          <w:lang w:val="en-US" w:eastAsia="zh-CN"/>
        </w:rPr>
        <w:t>类似工程业绩表中证明材料的要求。所提供业绩的产品品牌须与申请人申请本项目的产品品牌一致。拟投标国产两用型非冷凝炉24KW产品型号须与第四章《资格预审申请文件》</w:t>
      </w:r>
      <w:r>
        <w:rPr>
          <w:rFonts w:hint="eastAsia" w:ascii="仿宋_GB2312" w:hAnsi="仿宋_GB2312" w:eastAsia="仿宋_GB2312" w:cs="仿宋_GB2312"/>
          <w:b/>
          <w:bCs/>
          <w:sz w:val="32"/>
          <w:szCs w:val="32"/>
          <w:lang w:val="en-US" w:eastAsia="zh-CN"/>
        </w:rPr>
        <w:t>第九部分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投标货物技术性能的响应</w:t>
      </w:r>
      <w:r>
        <w:rPr>
          <w:rFonts w:hint="eastAsia" w:ascii="仿宋_GB2312" w:hAnsi="仿宋_GB2312" w:eastAsia="仿宋_GB2312" w:cs="仿宋_GB2312"/>
          <w:b/>
          <w:bCs/>
          <w:sz w:val="32"/>
          <w:szCs w:val="32"/>
          <w:highlight w:val="none"/>
          <w:lang w:val="en-US" w:eastAsia="zh-CN"/>
        </w:rPr>
        <w:t>及详细描述</w:t>
      </w:r>
      <w:r>
        <w:rPr>
          <w:rFonts w:hint="eastAsia" w:ascii="仿宋_GB2312" w:hAnsi="仿宋_GB2312" w:eastAsia="仿宋_GB2312" w:cs="仿宋_GB2312"/>
          <w:sz w:val="32"/>
          <w:szCs w:val="32"/>
          <w:highlight w:val="none"/>
          <w:lang w:val="en-US" w:eastAsia="zh-CN"/>
        </w:rPr>
        <w:t>》中的</w:t>
      </w:r>
      <w:r>
        <w:rPr>
          <w:rFonts w:hint="eastAsia" w:ascii="仿宋_GB2312" w:hAnsi="仿宋_GB2312" w:eastAsia="仿宋_GB2312" w:cs="仿宋_GB2312"/>
          <w:sz w:val="32"/>
          <w:szCs w:val="32"/>
          <w:lang w:val="en-US" w:eastAsia="zh-CN"/>
        </w:rPr>
        <w:t>型号一致。”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3.第三章资格审查办法2.3评分标准“技术性能指标”和第四章资格预审申请文件格式《（三）资格预审自评情况表》技术性能指标由“申请人完全响应第四章</w:t>
      </w:r>
      <w:r>
        <w:rPr>
          <w:rFonts w:hint="eastAsia" w:ascii="仿宋_GB2312" w:hAnsi="仿宋_GB2312" w:eastAsia="仿宋_GB2312" w:cs="仿宋_GB2312"/>
          <w:b/>
          <w:bCs/>
          <w:sz w:val="32"/>
          <w:szCs w:val="32"/>
          <w:lang w:val="en-US" w:eastAsia="zh-CN"/>
        </w:rPr>
        <w:t>《八、申请货物技术性能的响应及详细描述》</w:t>
      </w:r>
      <w:r>
        <w:rPr>
          <w:rFonts w:hint="eastAsia" w:ascii="仿宋_GB2312" w:hAnsi="仿宋_GB2312" w:eastAsia="仿宋_GB2312" w:cs="仿宋_GB2312"/>
          <w:sz w:val="32"/>
          <w:szCs w:val="32"/>
          <w:lang w:val="en-US" w:eastAsia="zh-CN"/>
        </w:rPr>
        <w:t>表格中的招标标准，在此前提下，申请人技术指标优于技术要求个数：”</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“申请人完全响应第四章</w:t>
      </w:r>
      <w:r>
        <w:rPr>
          <w:rFonts w:hint="eastAsia" w:ascii="仿宋_GB2312" w:hAnsi="仿宋_GB2312" w:eastAsia="仿宋_GB2312" w:cs="仿宋_GB2312"/>
          <w:b/>
          <w:bCs/>
          <w:sz w:val="32"/>
          <w:szCs w:val="32"/>
          <w:lang w:val="en-US" w:eastAsia="zh-CN"/>
        </w:rPr>
        <w:t>《九、投标货物技术性能的响应及详细描述》</w:t>
      </w:r>
      <w:r>
        <w:rPr>
          <w:rFonts w:hint="eastAsia" w:ascii="仿宋_GB2312" w:hAnsi="仿宋_GB2312" w:eastAsia="仿宋_GB2312" w:cs="仿宋_GB2312"/>
          <w:sz w:val="32"/>
          <w:szCs w:val="32"/>
          <w:lang w:val="en-US" w:eastAsia="zh-CN"/>
        </w:rPr>
        <w:t>表格中的招标标准，在此前提下，申请人技术指标优于技术要求个数：”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4.第四章资格预审申请文件格式中《</w:t>
      </w:r>
      <w:bookmarkStart w:id="1" w:name="_Toc5001"/>
      <w:bookmarkStart w:id="2" w:name="_Toc13272"/>
      <w:bookmarkStart w:id="3" w:name="_Toc10246"/>
      <w:bookmarkStart w:id="4" w:name="_Toc31874"/>
      <w:bookmarkStart w:id="5" w:name="_Toc14631"/>
      <w:bookmarkStart w:id="6" w:name="_Toc28879"/>
      <w:r>
        <w:rPr>
          <w:rFonts w:hint="eastAsia" w:ascii="仿宋_GB2312" w:hAnsi="仿宋_GB2312" w:eastAsia="仿宋_GB2312" w:cs="仿宋_GB2312"/>
          <w:sz w:val="32"/>
          <w:szCs w:val="32"/>
          <w:lang w:val="en-US" w:eastAsia="zh-CN"/>
        </w:rPr>
        <w:t>（一）申请函附录</w:t>
      </w:r>
      <w:bookmarkEnd w:id="1"/>
      <w:bookmarkEnd w:id="2"/>
      <w:bookmarkEnd w:id="3"/>
      <w:bookmarkEnd w:id="4"/>
      <w:bookmarkEnd w:id="5"/>
      <w:bookmarkEnd w:id="6"/>
      <w:r>
        <w:rPr>
          <w:rFonts w:hint="eastAsia" w:ascii="仿宋_GB2312" w:hAnsi="仿宋_GB2312" w:eastAsia="仿宋_GB2312" w:cs="仿宋_GB2312"/>
          <w:sz w:val="32"/>
          <w:szCs w:val="32"/>
          <w:lang w:val="en-US" w:eastAsia="zh-CN"/>
        </w:rPr>
        <w:t>》增加以下内容：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4"/>
        <w:gridCol w:w="2273"/>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4" w:type="dxa"/>
          </w:tcPr>
          <w:p>
            <w:pPr>
              <w:pStyle w:val="2"/>
              <w:numPr>
                <w:ilvl w:val="0"/>
                <w:numId w:val="0"/>
              </w:numPr>
              <w:jc w:val="center"/>
              <w:rPr>
                <w:rFonts w:hint="default"/>
                <w:sz w:val="24"/>
                <w:szCs w:val="32"/>
                <w:vertAlign w:val="baseline"/>
                <w:lang w:val="en-US" w:eastAsia="zh-CN"/>
              </w:rPr>
            </w:pPr>
            <w:r>
              <w:rPr>
                <w:rFonts w:hint="eastAsia"/>
                <w:sz w:val="24"/>
                <w:szCs w:val="32"/>
                <w:vertAlign w:val="baseline"/>
                <w:lang w:val="en-US" w:eastAsia="zh-CN"/>
              </w:rPr>
              <w:t>7</w:t>
            </w:r>
          </w:p>
        </w:tc>
        <w:tc>
          <w:tcPr>
            <w:tcW w:w="2273" w:type="dxa"/>
          </w:tcPr>
          <w:p>
            <w:pPr>
              <w:pStyle w:val="2"/>
              <w:numPr>
                <w:ilvl w:val="0"/>
                <w:numId w:val="0"/>
              </w:numPr>
              <w:jc w:val="center"/>
              <w:rPr>
                <w:rFonts w:hint="default"/>
                <w:sz w:val="24"/>
                <w:szCs w:val="32"/>
                <w:vertAlign w:val="baseline"/>
                <w:lang w:val="en-US" w:eastAsia="zh-CN"/>
              </w:rPr>
            </w:pPr>
            <w:r>
              <w:rPr>
                <w:rFonts w:hint="eastAsia"/>
                <w:sz w:val="24"/>
                <w:szCs w:val="32"/>
                <w:vertAlign w:val="baseline"/>
                <w:lang w:val="en-US" w:eastAsia="zh-CN"/>
              </w:rPr>
              <w:t>承诺2</w:t>
            </w:r>
          </w:p>
        </w:tc>
        <w:tc>
          <w:tcPr>
            <w:tcW w:w="4445" w:type="dxa"/>
          </w:tcPr>
          <w:p>
            <w:pPr>
              <w:pStyle w:val="2"/>
              <w:numPr>
                <w:ilvl w:val="0"/>
                <w:numId w:val="0"/>
              </w:numPr>
              <w:rPr>
                <w:rFonts w:hint="default"/>
                <w:sz w:val="24"/>
                <w:szCs w:val="32"/>
                <w:vertAlign w:val="baseline"/>
                <w:lang w:val="en-US" w:eastAsia="zh-CN"/>
              </w:rPr>
            </w:pPr>
            <w:r>
              <w:rPr>
                <w:rFonts w:hint="default"/>
                <w:sz w:val="24"/>
                <w:szCs w:val="32"/>
                <w:vertAlign w:val="baseline"/>
                <w:lang w:val="en-US" w:eastAsia="zh-CN"/>
              </w:rPr>
              <w:t>合同签订方式满足按照申请人须知前附表增加条款表 10.19 条约定</w:t>
            </w:r>
          </w:p>
        </w:tc>
      </w:tr>
    </w:tbl>
    <w:p>
      <w:pPr>
        <w:pStyle w:val="2"/>
        <w:numPr>
          <w:ilvl w:val="0"/>
          <w:numId w:val="0"/>
        </w:numPr>
        <w:rPr>
          <w:rFonts w:hint="default"/>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5.第四章资格预审申请文件格式</w:t>
      </w:r>
      <w:bookmarkEnd w:id="0"/>
      <w:r>
        <w:rPr>
          <w:rFonts w:hint="eastAsia" w:ascii="仿宋_GB2312" w:hAnsi="仿宋_GB2312" w:eastAsia="仿宋_GB2312" w:cs="仿宋_GB2312"/>
          <w:sz w:val="32"/>
          <w:szCs w:val="32"/>
          <w:lang w:val="en-US" w:eastAsia="zh-CN"/>
        </w:rPr>
        <w:t>中《五、联合体协议书》调整为：</w:t>
      </w:r>
    </w:p>
    <w:p>
      <w:pPr>
        <w:pStyle w:val="3"/>
        <w:numPr>
          <w:ilvl w:val="-1"/>
          <w:numId w:val="0"/>
        </w:numPr>
        <w:ind w:left="0" w:firstLine="0"/>
        <w:jc w:val="center"/>
        <w:rPr>
          <w:rFonts w:ascii="宋体" w:hAnsi="宋体"/>
          <w:sz w:val="28"/>
          <w:szCs w:val="28"/>
        </w:rPr>
      </w:pPr>
      <w:r>
        <w:rPr>
          <w:rFonts w:hint="eastAsia" w:ascii="宋体" w:hAnsi="宋体"/>
          <w:sz w:val="28"/>
          <w:szCs w:val="28"/>
          <w:lang w:val="en-US" w:eastAsia="zh-CN"/>
        </w:rPr>
        <w:t>五、</w:t>
      </w:r>
      <w:r>
        <w:rPr>
          <w:rFonts w:hint="eastAsia" w:ascii="宋体" w:hAnsi="宋体"/>
          <w:sz w:val="28"/>
          <w:szCs w:val="28"/>
        </w:rPr>
        <w:t>联合体协议书</w:t>
      </w:r>
    </w:p>
    <w:p>
      <w:pPr>
        <w:spacing w:line="384" w:lineRule="auto"/>
        <w:ind w:firstLine="420" w:firstLineChars="200"/>
        <w:rPr>
          <w:rFonts w:ascii="宋体" w:hAnsi="宋体"/>
          <w:szCs w:val="21"/>
        </w:rPr>
      </w:pPr>
      <w:r>
        <w:rPr>
          <w:rFonts w:hint="eastAsia" w:ascii="宋体" w:hAnsi="宋体"/>
          <w:szCs w:val="21"/>
          <w:u w:val="single"/>
        </w:rPr>
        <w:t xml:space="preserve">             （所有成员单位名称）</w:t>
      </w:r>
      <w:r>
        <w:rPr>
          <w:rFonts w:hint="eastAsia" w:ascii="宋体" w:hAnsi="宋体"/>
          <w:szCs w:val="21"/>
        </w:rPr>
        <w:t>自愿组成</w:t>
      </w:r>
      <w:r>
        <w:rPr>
          <w:rFonts w:hint="eastAsia" w:ascii="宋体" w:hAnsi="宋体"/>
          <w:szCs w:val="21"/>
          <w:u w:val="single"/>
        </w:rPr>
        <w:t xml:space="preserve">             （联合体名称）</w:t>
      </w:r>
      <w:r>
        <w:rPr>
          <w:rFonts w:hint="eastAsia" w:ascii="宋体" w:hAnsi="宋体"/>
          <w:szCs w:val="21"/>
        </w:rPr>
        <w:t>联合体，共同参加</w:t>
      </w:r>
      <w:r>
        <w:rPr>
          <w:rFonts w:hint="eastAsia" w:ascii="宋体" w:hAnsi="宋体"/>
          <w:szCs w:val="21"/>
          <w:u w:val="single"/>
        </w:rPr>
        <w:t xml:space="preserve">             （项目名称</w:t>
      </w:r>
      <w:r>
        <w:rPr>
          <w:rFonts w:ascii="宋体" w:hAnsi="宋体"/>
          <w:szCs w:val="21"/>
          <w:u w:val="single"/>
        </w:rPr>
        <w:t>）</w:t>
      </w:r>
      <w:r>
        <w:rPr>
          <w:rFonts w:hint="eastAsia" w:ascii="宋体" w:hAnsi="宋体"/>
          <w:szCs w:val="21"/>
          <w:lang w:val="en-US" w:eastAsia="zh-CN"/>
        </w:rPr>
        <w:t>申请（投标）</w:t>
      </w:r>
      <w:r>
        <w:rPr>
          <w:rFonts w:hint="eastAsia" w:ascii="宋体" w:hAnsi="宋体"/>
          <w:szCs w:val="21"/>
        </w:rPr>
        <w:t>。现就联合体</w:t>
      </w:r>
      <w:r>
        <w:rPr>
          <w:rFonts w:hint="eastAsia" w:ascii="宋体" w:hAnsi="宋体"/>
          <w:szCs w:val="21"/>
          <w:lang w:val="en-US" w:eastAsia="zh-CN"/>
        </w:rPr>
        <w:t>申请</w:t>
      </w:r>
      <w:r>
        <w:rPr>
          <w:rFonts w:hint="eastAsia" w:ascii="宋体" w:hAnsi="宋体"/>
          <w:szCs w:val="21"/>
        </w:rPr>
        <w:t>事宜订立如下协议：</w:t>
      </w:r>
    </w:p>
    <w:p>
      <w:pPr>
        <w:spacing w:line="384" w:lineRule="auto"/>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（某成员单位名称）</w:t>
      </w:r>
      <w:r>
        <w:rPr>
          <w:rFonts w:hint="eastAsia" w:ascii="宋体" w:hAnsi="宋体"/>
          <w:szCs w:val="21"/>
        </w:rPr>
        <w:t>为</w:t>
      </w:r>
      <w:r>
        <w:rPr>
          <w:rFonts w:hint="eastAsia" w:ascii="宋体" w:hAnsi="宋体"/>
          <w:szCs w:val="21"/>
          <w:u w:val="single"/>
        </w:rPr>
        <w:t xml:space="preserve">             （联合体名称）</w:t>
      </w:r>
      <w:r>
        <w:rPr>
          <w:rFonts w:hint="eastAsia" w:ascii="宋体" w:hAnsi="宋体"/>
          <w:szCs w:val="21"/>
        </w:rPr>
        <w:t>的牵头人。</w:t>
      </w:r>
    </w:p>
    <w:p>
      <w:pPr>
        <w:spacing w:line="360" w:lineRule="auto"/>
        <w:ind w:firstLine="420" w:firstLineChars="200"/>
        <w:rPr>
          <w:rFonts w:ascii="宋体" w:hAnsi="宋体"/>
          <w:szCs w:val="21"/>
        </w:rPr>
      </w:pPr>
      <w:r>
        <w:rPr>
          <w:rFonts w:hint="eastAsia" w:ascii="宋体" w:hAnsi="宋体"/>
          <w:szCs w:val="21"/>
        </w:rPr>
        <w:t>2、联合体牵头人合法代表联合体各成员负责本</w:t>
      </w:r>
      <w:r>
        <w:rPr>
          <w:rFonts w:hint="eastAsia" w:ascii="宋体" w:hAnsi="宋体"/>
          <w:szCs w:val="21"/>
          <w:lang w:val="en-US" w:eastAsia="zh-CN"/>
        </w:rPr>
        <w:t>资格预审（招标）</w:t>
      </w:r>
      <w:r>
        <w:rPr>
          <w:rFonts w:hint="eastAsia" w:ascii="宋体" w:hAnsi="宋体"/>
          <w:szCs w:val="21"/>
        </w:rPr>
        <w:t>项目</w:t>
      </w:r>
      <w:r>
        <w:rPr>
          <w:rFonts w:hint="eastAsia" w:ascii="宋体" w:hAnsi="宋体"/>
          <w:szCs w:val="21"/>
          <w:lang w:val="en-US" w:eastAsia="zh-CN"/>
        </w:rPr>
        <w:t>申请（投标）</w:t>
      </w:r>
      <w:r>
        <w:rPr>
          <w:rFonts w:hint="eastAsia" w:ascii="宋体" w:hAnsi="宋体"/>
          <w:szCs w:val="21"/>
        </w:rPr>
        <w:t>文件编制和合同谈判活动，并代表联合体提交和接收相关的资料、信息及指示，并处理与之有关的一切事务，负责合同实施阶段的主办、组织和协调工作。</w:t>
      </w:r>
    </w:p>
    <w:p>
      <w:pPr>
        <w:spacing w:line="360" w:lineRule="auto"/>
        <w:ind w:firstLine="420" w:firstLineChars="200"/>
        <w:rPr>
          <w:rFonts w:ascii="宋体" w:hAnsi="宋体"/>
          <w:szCs w:val="21"/>
        </w:rPr>
      </w:pPr>
      <w:r>
        <w:rPr>
          <w:rFonts w:hint="eastAsia" w:ascii="宋体" w:hAnsi="宋体"/>
          <w:szCs w:val="21"/>
        </w:rPr>
        <w:t>3、联合体将严格按照</w:t>
      </w:r>
      <w:r>
        <w:rPr>
          <w:rFonts w:hint="eastAsia" w:ascii="宋体" w:hAnsi="宋体"/>
          <w:szCs w:val="21"/>
          <w:lang w:val="en-US" w:eastAsia="zh-CN"/>
        </w:rPr>
        <w:t>资格预审（招标）</w:t>
      </w:r>
      <w:r>
        <w:rPr>
          <w:rFonts w:hint="eastAsia" w:ascii="宋体" w:hAnsi="宋体"/>
          <w:szCs w:val="21"/>
        </w:rPr>
        <w:t>文件的各项要求，递交</w:t>
      </w:r>
      <w:r>
        <w:rPr>
          <w:rFonts w:hint="eastAsia" w:ascii="宋体" w:hAnsi="宋体"/>
          <w:szCs w:val="21"/>
          <w:lang w:val="en-US" w:eastAsia="zh-CN"/>
        </w:rPr>
        <w:t>申请（投标）</w:t>
      </w:r>
      <w:r>
        <w:rPr>
          <w:rFonts w:hint="eastAsia" w:ascii="宋体" w:hAnsi="宋体"/>
          <w:szCs w:val="21"/>
        </w:rPr>
        <w:t>文件，履行合同，并对外承担连带责任。</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rPr>
        <w:t>4、联合体各成</w:t>
      </w:r>
      <w:r>
        <w:rPr>
          <w:rFonts w:hint="eastAsia" w:ascii="宋体" w:hAnsi="宋体"/>
          <w:color w:val="auto"/>
          <w:szCs w:val="21"/>
          <w:highlight w:val="none"/>
        </w:rPr>
        <w:t>员单位内部的职责分工如下：</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none"/>
          <w:lang w:val="en-US" w:eastAsia="zh-CN"/>
        </w:rPr>
        <w:t>责任分工：</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hint="default" w:ascii="宋体" w:hAnsi="宋体"/>
          <w:color w:val="auto"/>
          <w:kern w:val="2"/>
          <w:sz w:val="21"/>
          <w:szCs w:val="21"/>
          <w:highlight w:val="none"/>
          <w:lang w:val="en-US" w:eastAsia="zh-CN"/>
        </w:rPr>
      </w:pPr>
      <w:r>
        <w:rPr>
          <w:rFonts w:hint="eastAsia" w:ascii="宋体" w:hAnsi="宋体"/>
          <w:color w:val="auto"/>
          <w:kern w:val="2"/>
          <w:sz w:val="21"/>
          <w:szCs w:val="21"/>
          <w:highlight w:val="none"/>
          <w:lang w:val="en-US" w:eastAsia="zh-CN"/>
        </w:rPr>
        <w:t>5、项目合同签订：</w:t>
      </w:r>
    </w:p>
    <w:p>
      <w:pPr>
        <w:spacing w:line="360" w:lineRule="auto"/>
        <w:ind w:firstLine="422" w:firstLineChars="200"/>
        <w:rPr>
          <w:rFonts w:hint="eastAsia" w:ascii="宋体" w:hAnsi="宋体" w:eastAsia="宋体"/>
          <w:color w:val="auto"/>
          <w:szCs w:val="21"/>
          <w:highlight w:val="none"/>
          <w:lang w:val="en-US" w:eastAsia="zh-CN"/>
        </w:rPr>
      </w:pPr>
      <w:r>
        <w:rPr>
          <w:rFonts w:hint="eastAsia" w:ascii="仿宋" w:hAnsi="仿宋" w:eastAsia="仿宋" w:cs="仿宋"/>
          <w:b/>
          <w:color w:val="auto"/>
          <w:sz w:val="21"/>
          <w:szCs w:val="21"/>
          <w:highlight w:val="none"/>
        </w:rPr>
        <w:sym w:font="Wingdings 2" w:char="00A3"/>
      </w:r>
      <w:r>
        <w:rPr>
          <w:rFonts w:hint="eastAsia" w:ascii="宋体" w:hAnsi="宋体"/>
          <w:color w:val="auto"/>
          <w:kern w:val="2"/>
          <w:sz w:val="21"/>
          <w:szCs w:val="21"/>
          <w:highlight w:val="none"/>
          <w:lang w:val="en-US" w:eastAsia="zh-CN"/>
        </w:rPr>
        <w:t xml:space="preserve">成都城投置地（集团）有限公司  </w:t>
      </w:r>
      <w:r>
        <w:rPr>
          <w:rFonts w:hint="eastAsia" w:ascii="仿宋" w:hAnsi="仿宋" w:eastAsia="仿宋" w:cs="仿宋"/>
          <w:b/>
          <w:color w:val="auto"/>
          <w:sz w:val="21"/>
          <w:szCs w:val="21"/>
          <w:highlight w:val="none"/>
        </w:rPr>
        <w:sym w:font="Wingdings 2" w:char="00A3"/>
      </w:r>
      <w:r>
        <w:rPr>
          <w:rFonts w:hint="eastAsia" w:ascii="宋体" w:hAnsi="宋体"/>
          <w:color w:val="auto"/>
          <w:kern w:val="2"/>
          <w:sz w:val="21"/>
          <w:szCs w:val="21"/>
          <w:highlight w:val="none"/>
          <w:lang w:val="en-US" w:eastAsia="zh-CN"/>
        </w:rPr>
        <w:t>成都轨道城市投资集团有限公司由</w:t>
      </w:r>
      <w:r>
        <w:rPr>
          <w:rFonts w:hint="eastAsia" w:ascii="宋体" w:hAnsi="宋体"/>
          <w:color w:val="auto"/>
          <w:kern w:val="2"/>
          <w:sz w:val="21"/>
          <w:szCs w:val="21"/>
          <w:highlight w:val="none"/>
        </w:rPr>
        <w:t>联合体牵头人</w:t>
      </w:r>
      <w:r>
        <w:rPr>
          <w:rFonts w:hint="eastAsia" w:ascii="宋体" w:hAnsi="宋体"/>
          <w:color w:val="auto"/>
          <w:kern w:val="2"/>
          <w:sz w:val="21"/>
          <w:szCs w:val="21"/>
          <w:highlight w:val="none"/>
          <w:lang w:val="en-US" w:eastAsia="zh-CN"/>
        </w:rPr>
        <w:t>负责项目合同签订及执行</w:t>
      </w:r>
    </w:p>
    <w:p>
      <w:pPr>
        <w:spacing w:line="360" w:lineRule="auto"/>
        <w:ind w:firstLine="422" w:firstLineChars="200"/>
        <w:rPr>
          <w:rFonts w:hint="eastAsia" w:ascii="宋体" w:hAnsi="宋体"/>
          <w:color w:val="auto"/>
          <w:kern w:val="2"/>
          <w:sz w:val="21"/>
          <w:szCs w:val="21"/>
          <w:highlight w:val="none"/>
          <w:lang w:val="en-US" w:eastAsia="zh-CN"/>
        </w:rPr>
      </w:pPr>
      <w:r>
        <w:rPr>
          <w:rFonts w:hint="eastAsia" w:ascii="仿宋" w:hAnsi="仿宋" w:eastAsia="仿宋" w:cs="仿宋"/>
          <w:b/>
          <w:color w:val="auto"/>
          <w:sz w:val="21"/>
          <w:szCs w:val="21"/>
          <w:highlight w:val="none"/>
        </w:rPr>
        <w:sym w:font="Wingdings 2" w:char="00A3"/>
      </w:r>
      <w:r>
        <w:rPr>
          <w:rFonts w:hint="eastAsia" w:ascii="宋体" w:hAnsi="宋体"/>
          <w:color w:val="auto"/>
          <w:kern w:val="2"/>
          <w:sz w:val="21"/>
          <w:szCs w:val="21"/>
          <w:highlight w:val="none"/>
          <w:lang w:val="en-US" w:eastAsia="zh-CN"/>
        </w:rPr>
        <w:t xml:space="preserve">成都城投置地（集团）有限公司  </w:t>
      </w:r>
      <w:r>
        <w:rPr>
          <w:rFonts w:hint="eastAsia" w:ascii="仿宋" w:hAnsi="仿宋" w:eastAsia="仿宋" w:cs="仿宋"/>
          <w:b/>
          <w:color w:val="auto"/>
          <w:sz w:val="21"/>
          <w:szCs w:val="21"/>
          <w:highlight w:val="none"/>
        </w:rPr>
        <w:sym w:font="Wingdings 2" w:char="00A3"/>
      </w:r>
      <w:r>
        <w:rPr>
          <w:rFonts w:hint="eastAsia" w:ascii="宋体" w:hAnsi="宋体"/>
          <w:color w:val="auto"/>
          <w:kern w:val="2"/>
          <w:sz w:val="21"/>
          <w:szCs w:val="21"/>
          <w:highlight w:val="none"/>
          <w:lang w:val="en-US" w:eastAsia="zh-CN"/>
        </w:rPr>
        <w:t>成都轨道城市投资集团有限公司由</w:t>
      </w:r>
      <w:r>
        <w:rPr>
          <w:rFonts w:hint="eastAsia" w:ascii="宋体" w:hAnsi="宋体"/>
          <w:color w:val="auto"/>
          <w:kern w:val="2"/>
          <w:sz w:val="21"/>
          <w:szCs w:val="21"/>
          <w:highlight w:val="none"/>
        </w:rPr>
        <w:t>联合体其他成员</w:t>
      </w:r>
      <w:r>
        <w:rPr>
          <w:rFonts w:hint="eastAsia" w:ascii="宋体" w:hAnsi="宋体"/>
          <w:color w:val="auto"/>
          <w:kern w:val="2"/>
          <w:sz w:val="21"/>
          <w:szCs w:val="21"/>
          <w:highlight w:val="none"/>
          <w:lang w:val="en-US" w:eastAsia="zh-CN"/>
        </w:rPr>
        <w:t>负责项目合同签订及执行</w:t>
      </w:r>
    </w:p>
    <w:p>
      <w:pPr>
        <w:spacing w:line="360" w:lineRule="auto"/>
        <w:ind w:firstLine="422" w:firstLineChars="200"/>
        <w:rPr>
          <w:rFonts w:hint="eastAsia" w:ascii="宋体" w:hAnsi="宋体"/>
          <w:color w:val="auto"/>
          <w:kern w:val="2"/>
          <w:sz w:val="21"/>
          <w:szCs w:val="21"/>
          <w:highlight w:val="none"/>
          <w:lang w:eastAsia="zh-CN"/>
        </w:rPr>
      </w:pPr>
      <w:r>
        <w:rPr>
          <w:rFonts w:hint="eastAsia" w:ascii="仿宋" w:hAnsi="仿宋" w:eastAsia="仿宋" w:cs="仿宋"/>
          <w:b/>
          <w:color w:val="auto"/>
          <w:sz w:val="21"/>
          <w:szCs w:val="21"/>
          <w:highlight w:val="none"/>
        </w:rPr>
        <w:sym w:font="Wingdings 2" w:char="00A3"/>
      </w:r>
      <w:r>
        <w:rPr>
          <w:rFonts w:hint="eastAsia" w:ascii="宋体" w:hAnsi="宋体"/>
          <w:color w:val="auto"/>
          <w:kern w:val="2"/>
          <w:sz w:val="21"/>
          <w:szCs w:val="21"/>
          <w:highlight w:val="none"/>
          <w:lang w:val="en-US" w:eastAsia="zh-CN"/>
        </w:rPr>
        <w:t>成都轨道城市投资集团有限公司由联合体牵头人和联合体</w:t>
      </w:r>
      <w:r>
        <w:rPr>
          <w:rFonts w:hint="eastAsia" w:ascii="宋体" w:hAnsi="宋体"/>
          <w:color w:val="auto"/>
          <w:kern w:val="2"/>
          <w:sz w:val="21"/>
          <w:szCs w:val="21"/>
          <w:highlight w:val="none"/>
        </w:rPr>
        <w:t>其他成员</w:t>
      </w:r>
      <w:r>
        <w:rPr>
          <w:rFonts w:hint="eastAsia" w:ascii="宋体" w:hAnsi="宋体"/>
          <w:color w:val="auto"/>
          <w:kern w:val="2"/>
          <w:sz w:val="21"/>
          <w:szCs w:val="21"/>
          <w:highlight w:val="none"/>
          <w:lang w:val="en-US" w:eastAsia="zh-CN"/>
        </w:rPr>
        <w:t>共同负责项目合同签订及执行</w:t>
      </w:r>
    </w:p>
    <w:p>
      <w:pPr>
        <w:spacing w:line="360" w:lineRule="auto"/>
        <w:ind w:firstLine="420" w:firstLineChars="200"/>
        <w:rPr>
          <w:rFonts w:ascii="宋体" w:hAnsi="宋体"/>
          <w:szCs w:val="21"/>
        </w:rPr>
      </w:pPr>
      <w:r>
        <w:rPr>
          <w:rFonts w:hint="eastAsia" w:ascii="宋体" w:hAnsi="宋体"/>
          <w:szCs w:val="21"/>
          <w:highlight w:val="none"/>
          <w:lang w:val="en-US" w:eastAsia="zh-CN"/>
        </w:rPr>
        <w:t>6</w:t>
      </w:r>
      <w:r>
        <w:rPr>
          <w:rFonts w:hint="eastAsia" w:ascii="宋体" w:hAnsi="宋体"/>
          <w:szCs w:val="21"/>
          <w:highlight w:val="none"/>
        </w:rPr>
        <w:t>、本协议书自签署之日起生效，合同</w:t>
      </w:r>
      <w:r>
        <w:rPr>
          <w:rFonts w:hint="eastAsia" w:ascii="宋体" w:hAnsi="宋体"/>
          <w:szCs w:val="21"/>
        </w:rPr>
        <w:t>履行完毕后自动失效。</w:t>
      </w:r>
    </w:p>
    <w:p>
      <w:pPr>
        <w:spacing w:line="360" w:lineRule="auto"/>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、本协议书一式</w:t>
      </w:r>
      <w:r>
        <w:rPr>
          <w:rFonts w:hint="eastAsia" w:ascii="宋体" w:hAnsi="宋体"/>
          <w:szCs w:val="21"/>
          <w:u w:val="single"/>
        </w:rPr>
        <w:t xml:space="preserve">   </w:t>
      </w:r>
      <w:r>
        <w:rPr>
          <w:rFonts w:hint="eastAsia" w:ascii="宋体" w:hAnsi="宋体"/>
          <w:szCs w:val="21"/>
        </w:rPr>
        <w:t>份，联合体各成员和招标人各执一份。</w:t>
      </w:r>
    </w:p>
    <w:p>
      <w:pPr>
        <w:spacing w:line="360" w:lineRule="auto"/>
        <w:ind w:firstLine="420" w:firstLineChars="200"/>
        <w:rPr>
          <w:rFonts w:ascii="宋体" w:hAnsi="宋体"/>
          <w:szCs w:val="21"/>
        </w:rPr>
      </w:pPr>
    </w:p>
    <w:p>
      <w:pPr>
        <w:wordWrap w:val="0"/>
        <w:spacing w:line="360" w:lineRule="auto"/>
        <w:jc w:val="right"/>
        <w:rPr>
          <w:rFonts w:ascii="宋体" w:hAnsi="宋体"/>
          <w:szCs w:val="21"/>
        </w:rPr>
      </w:pPr>
      <w:r>
        <w:rPr>
          <w:rFonts w:hint="eastAsia" w:ascii="宋体" w:hAnsi="宋体"/>
          <w:szCs w:val="21"/>
        </w:rPr>
        <w:t>牵头人名称：</w:t>
      </w:r>
      <w:r>
        <w:rPr>
          <w:rFonts w:hint="eastAsia" w:ascii="宋体" w:hAnsi="宋体"/>
          <w:szCs w:val="21"/>
          <w:u w:val="single"/>
        </w:rPr>
        <w:t xml:space="preserve">             </w:t>
      </w:r>
      <w:r>
        <w:rPr>
          <w:rFonts w:hint="eastAsia" w:ascii="宋体" w:hAnsi="宋体"/>
          <w:szCs w:val="21"/>
        </w:rPr>
        <w:t>(盖单位章)</w:t>
      </w:r>
    </w:p>
    <w:p>
      <w:pPr>
        <w:spacing w:line="360" w:lineRule="auto"/>
        <w:jc w:val="right"/>
        <w:rPr>
          <w:rFonts w:ascii="宋体" w:hAnsi="宋体"/>
          <w:szCs w:val="21"/>
        </w:rPr>
      </w:pPr>
      <w:r>
        <w:rPr>
          <w:rFonts w:hint="eastAsia" w:ascii="宋体" w:hAnsi="宋体"/>
          <w:szCs w:val="21"/>
        </w:rPr>
        <w:t>法定代表人（单位负责人）：</w:t>
      </w:r>
      <w:r>
        <w:rPr>
          <w:rFonts w:hint="eastAsia" w:ascii="宋体" w:hAnsi="宋体"/>
          <w:szCs w:val="21"/>
          <w:u w:val="single"/>
        </w:rPr>
        <w:t xml:space="preserve">             </w:t>
      </w:r>
      <w:r>
        <w:rPr>
          <w:rFonts w:hint="eastAsia" w:ascii="宋体" w:hAnsi="宋体"/>
          <w:szCs w:val="21"/>
        </w:rPr>
        <w:t>(签字或盖章)</w:t>
      </w:r>
    </w:p>
    <w:p>
      <w:pPr>
        <w:spacing w:line="360" w:lineRule="auto"/>
        <w:jc w:val="right"/>
        <w:rPr>
          <w:rFonts w:ascii="宋体" w:hAnsi="宋体"/>
          <w:szCs w:val="21"/>
        </w:rPr>
      </w:pPr>
      <w:r>
        <w:rPr>
          <w:rFonts w:hint="eastAsia" w:ascii="宋体" w:hAnsi="宋体"/>
          <w:szCs w:val="21"/>
        </w:rPr>
        <w:t>联合体其他成员单位一名称：</w:t>
      </w:r>
      <w:r>
        <w:rPr>
          <w:rFonts w:hint="eastAsia" w:ascii="宋体" w:hAnsi="宋体"/>
          <w:szCs w:val="21"/>
          <w:u w:val="single"/>
        </w:rPr>
        <w:t xml:space="preserve">             </w:t>
      </w:r>
      <w:r>
        <w:rPr>
          <w:rFonts w:hint="eastAsia" w:ascii="宋体" w:hAnsi="宋体"/>
          <w:szCs w:val="21"/>
        </w:rPr>
        <w:t xml:space="preserve"> (盖单位章)</w:t>
      </w:r>
    </w:p>
    <w:p>
      <w:pPr>
        <w:spacing w:line="360" w:lineRule="auto"/>
        <w:jc w:val="right"/>
        <w:rPr>
          <w:rFonts w:ascii="宋体" w:hAnsi="宋体"/>
          <w:szCs w:val="21"/>
        </w:rPr>
      </w:pPr>
      <w:r>
        <w:rPr>
          <w:rFonts w:hint="eastAsia" w:ascii="宋体" w:hAnsi="宋体"/>
          <w:szCs w:val="21"/>
        </w:rPr>
        <w:t>法定代表人（单位负责人）：</w:t>
      </w:r>
      <w:r>
        <w:rPr>
          <w:rFonts w:hint="eastAsia" w:ascii="宋体" w:hAnsi="宋体"/>
          <w:szCs w:val="21"/>
          <w:u w:val="single"/>
        </w:rPr>
        <w:t xml:space="preserve">             </w:t>
      </w:r>
      <w:r>
        <w:rPr>
          <w:rFonts w:hint="eastAsia" w:ascii="宋体" w:hAnsi="宋体"/>
          <w:szCs w:val="21"/>
        </w:rPr>
        <w:t xml:space="preserve"> (签字或盖章)</w:t>
      </w:r>
    </w:p>
    <w:p>
      <w:pPr>
        <w:spacing w:line="360" w:lineRule="auto"/>
        <w:jc w:val="right"/>
        <w:rPr>
          <w:rFonts w:ascii="宋体" w:hAnsi="宋体"/>
          <w:szCs w:val="21"/>
        </w:rPr>
      </w:pPr>
      <w:r>
        <w:rPr>
          <w:rFonts w:hint="eastAsia" w:ascii="宋体" w:hAnsi="宋体"/>
          <w:szCs w:val="21"/>
        </w:rPr>
        <w:t>联合体其他成员单位二名称：</w:t>
      </w:r>
      <w:r>
        <w:rPr>
          <w:rFonts w:hint="eastAsia" w:ascii="宋体" w:hAnsi="宋体"/>
          <w:szCs w:val="21"/>
          <w:u w:val="single"/>
        </w:rPr>
        <w:t xml:space="preserve">             </w:t>
      </w:r>
      <w:r>
        <w:rPr>
          <w:rFonts w:hint="eastAsia" w:ascii="宋体" w:hAnsi="宋体"/>
          <w:szCs w:val="21"/>
        </w:rPr>
        <w:t xml:space="preserve"> (盖单位章)</w:t>
      </w:r>
    </w:p>
    <w:p>
      <w:pPr>
        <w:spacing w:line="360" w:lineRule="auto"/>
        <w:jc w:val="right"/>
        <w:rPr>
          <w:rFonts w:ascii="宋体" w:hAnsi="宋体"/>
          <w:szCs w:val="21"/>
        </w:rPr>
      </w:pPr>
      <w:r>
        <w:rPr>
          <w:rFonts w:hint="eastAsia" w:ascii="宋体" w:hAnsi="宋体"/>
          <w:szCs w:val="21"/>
        </w:rPr>
        <w:t>法定代表人（单位负责人）：</w:t>
      </w:r>
      <w:r>
        <w:rPr>
          <w:rFonts w:hint="eastAsia" w:ascii="宋体" w:hAnsi="宋体"/>
          <w:szCs w:val="21"/>
          <w:u w:val="single"/>
        </w:rPr>
        <w:t xml:space="preserve">             </w:t>
      </w:r>
      <w:r>
        <w:rPr>
          <w:rFonts w:hint="eastAsia" w:ascii="宋体" w:hAnsi="宋体"/>
          <w:szCs w:val="21"/>
        </w:rPr>
        <w:t xml:space="preserve"> (签字或盖章)</w:t>
      </w:r>
    </w:p>
    <w:p>
      <w:pPr>
        <w:wordWrap w:val="0"/>
        <w:spacing w:line="360" w:lineRule="auto"/>
        <w:ind w:firstLine="1680" w:firstLineChars="800"/>
        <w:jc w:val="right"/>
        <w:rPr>
          <w:rFonts w:ascii="宋体" w:hAnsi="宋体"/>
          <w:b/>
          <w:szCs w:val="21"/>
        </w:rPr>
      </w:pPr>
      <w:r>
        <w:rPr>
          <w:rFonts w:hint="eastAsia" w:ascii="宋体" w:hAnsi="宋体"/>
          <w:szCs w:val="21"/>
          <w:u w:val="single"/>
        </w:rPr>
        <w:t>... ...</w:t>
      </w:r>
    </w:p>
    <w:p>
      <w:pPr>
        <w:spacing w:line="360" w:lineRule="auto"/>
        <w:ind w:firstLine="4410" w:firstLineChars="2100"/>
        <w:jc w:val="right"/>
        <w:rPr>
          <w:rFonts w:hint="eastAsia"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bidi w:val="0"/>
        <w:rPr>
          <w:rFonts w:hint="default" w:ascii="Times New Roman" w:hAnsi="Times New Roman" w:eastAsia="宋体" w:cs="Times New Roman"/>
          <w:kern w:val="2"/>
          <w:sz w:val="21"/>
          <w:szCs w:val="24"/>
          <w:lang w:val="en-US" w:eastAsia="zh-CN" w:bidi="ar-SA"/>
        </w:rPr>
      </w:pPr>
    </w:p>
    <w:p>
      <w:pPr>
        <w:numPr>
          <w:ilvl w:val="0"/>
          <w:numId w:val="0"/>
        </w:numPr>
        <w:bidi w:val="0"/>
        <w:jc w:val="left"/>
        <w:rPr>
          <w:rFonts w:hint="eastAsia" w:ascii="宋体" w:hAnsi="宋体"/>
          <w:szCs w:val="21"/>
          <w:lang w:val="en-US" w:eastAsia="zh-CN"/>
        </w:rPr>
      </w:pPr>
      <w:r>
        <w:rPr>
          <w:rFonts w:hint="eastAsia" w:ascii="宋体" w:hAnsi="宋体"/>
          <w:szCs w:val="21"/>
          <w:lang w:val="en-US" w:eastAsia="zh-CN"/>
        </w:rPr>
        <w:t>注：1.项目合同签订分工须按照申请人须知前附表增加条款表10.19条约定</w:t>
      </w:r>
    </w:p>
    <w:p>
      <w:pPr>
        <w:numPr>
          <w:ilvl w:val="0"/>
          <w:numId w:val="0"/>
        </w:numPr>
        <w:bidi w:val="0"/>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本协议书为联合体</w:t>
      </w:r>
      <w:r>
        <w:rPr>
          <w:rFonts w:hint="eastAsia" w:ascii="宋体" w:hAnsi="宋体"/>
          <w:szCs w:val="21"/>
          <w:lang w:val="en-US" w:eastAsia="zh-CN"/>
        </w:rPr>
        <w:t>申请（投标）</w:t>
      </w:r>
      <w:r>
        <w:rPr>
          <w:rFonts w:hint="eastAsia" w:ascii="宋体" w:hAnsi="宋体"/>
          <w:szCs w:val="21"/>
        </w:rPr>
        <w:t>时适用，非联合体</w:t>
      </w:r>
      <w:r>
        <w:rPr>
          <w:rFonts w:hint="eastAsia" w:ascii="宋体" w:hAnsi="宋体"/>
          <w:szCs w:val="21"/>
          <w:lang w:val="en-US" w:eastAsia="zh-CN"/>
        </w:rPr>
        <w:t>申请（投标）</w:t>
      </w:r>
      <w:r>
        <w:rPr>
          <w:rFonts w:hint="eastAsia" w:ascii="宋体" w:hAnsi="宋体"/>
          <w:szCs w:val="21"/>
        </w:rPr>
        <w:t>时不需填报。如</w:t>
      </w:r>
      <w:r>
        <w:rPr>
          <w:rFonts w:hint="eastAsia" w:ascii="宋体" w:hAnsi="宋体"/>
          <w:szCs w:val="21"/>
          <w:lang w:val="en-US" w:eastAsia="zh-CN"/>
        </w:rPr>
        <w:t>申请</w:t>
      </w:r>
      <w:r>
        <w:rPr>
          <w:rFonts w:hint="eastAsia" w:ascii="宋体" w:hAnsi="宋体"/>
          <w:szCs w:val="21"/>
        </w:rPr>
        <w:t>人没有组成联合体参加</w:t>
      </w:r>
      <w:r>
        <w:rPr>
          <w:rFonts w:hint="eastAsia" w:ascii="宋体" w:hAnsi="宋体"/>
          <w:szCs w:val="21"/>
          <w:lang w:val="en-US" w:eastAsia="zh-CN"/>
        </w:rPr>
        <w:t>申请（招标）</w:t>
      </w:r>
      <w:r>
        <w:rPr>
          <w:rFonts w:hint="eastAsia" w:ascii="宋体" w:hAnsi="宋体"/>
          <w:szCs w:val="21"/>
        </w:rPr>
        <w:t>，删除“</w:t>
      </w:r>
      <w:r>
        <w:rPr>
          <w:rFonts w:hint="eastAsia" w:ascii="宋体" w:hAnsi="宋体"/>
          <w:szCs w:val="21"/>
          <w:lang w:val="en-US" w:eastAsia="zh-CN"/>
        </w:rPr>
        <w:t>五</w:t>
      </w:r>
      <w:r>
        <w:rPr>
          <w:rFonts w:hint="eastAsia" w:ascii="宋体" w:hAnsi="宋体"/>
          <w:szCs w:val="21"/>
        </w:rPr>
        <w:t>、联合体协议书”，以下章节的序号依次递补。如“</w:t>
      </w:r>
      <w:r>
        <w:rPr>
          <w:rFonts w:hint="eastAsia" w:ascii="宋体" w:hAnsi="宋体"/>
          <w:szCs w:val="21"/>
          <w:lang w:val="en-US" w:eastAsia="zh-CN"/>
        </w:rPr>
        <w:t>六</w:t>
      </w:r>
      <w:r>
        <w:rPr>
          <w:rFonts w:hint="eastAsia" w:ascii="宋体" w:hAnsi="宋体"/>
          <w:szCs w:val="21"/>
        </w:rPr>
        <w:t>、申请人基本情况表”变为“</w:t>
      </w:r>
      <w:r>
        <w:rPr>
          <w:rFonts w:hint="eastAsia" w:ascii="宋体" w:hAnsi="宋体"/>
          <w:szCs w:val="21"/>
          <w:lang w:val="en-US" w:eastAsia="zh-CN"/>
        </w:rPr>
        <w:t>五</w:t>
      </w:r>
      <w:r>
        <w:rPr>
          <w:rFonts w:hint="eastAsia" w:ascii="宋体" w:hAnsi="宋体"/>
          <w:szCs w:val="21"/>
        </w:rPr>
        <w:t>、申请人基本情况表”，其他的依次类推。</w:t>
      </w:r>
    </w:p>
    <w:p>
      <w:pPr>
        <w:numPr>
          <w:ilvl w:val="0"/>
          <w:numId w:val="0"/>
        </w:numPr>
        <w:bidi w:val="0"/>
        <w:ind w:firstLine="420" w:firstLineChars="200"/>
        <w:jc w:val="left"/>
        <w:rPr>
          <w:rFonts w:hint="eastAsia" w:ascii="宋体" w:hAnsi="宋体"/>
          <w:szCs w:val="21"/>
        </w:rPr>
      </w:pPr>
      <w:r>
        <w:rPr>
          <w:rFonts w:hint="eastAsia" w:ascii="宋体" w:hAnsi="宋体"/>
          <w:szCs w:val="21"/>
          <w:lang w:val="en-US" w:eastAsia="zh-CN"/>
        </w:rPr>
        <w:t>3.</w:t>
      </w:r>
      <w:r>
        <w:rPr>
          <w:rFonts w:hint="eastAsia" w:ascii="宋体" w:hAnsi="宋体"/>
          <w:szCs w:val="21"/>
        </w:rPr>
        <w:t>其中涉及联合体成员数量的格式内容可根据实际情况可以修改。</w:t>
      </w:r>
    </w:p>
    <w:p>
      <w:pPr>
        <w:pStyle w:val="2"/>
        <w:ind w:firstLine="640" w:firstLineChars="200"/>
        <w:rPr>
          <w:rFonts w:hint="eastAsia" w:ascii="仿宋_GB2312" w:hAnsi="仿宋_GB2312" w:eastAsia="仿宋_GB2312" w:cs="仿宋_GB2312"/>
          <w:sz w:val="32"/>
          <w:szCs w:val="32"/>
          <w:lang w:val="en-US" w:eastAsia="zh-CN"/>
        </w:rPr>
      </w:pP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第四章资格预审申请文件格式中《（二）近年（2019年01月01日至申请截止时间）已完成或正在供货或新承接的类似工程业绩表》的“注1.“近年已完成的项目类似业绩表”应附合同协议书【框架协议（或集采协议、入库协议、战略协议等）和单项目合同】、货物进场验收证明文件（或工程竣工验收资料）等扫描件，以货物进场验收证明文件（或工程竣工验收资料）上载明的时间为准。“正在供货或新承接的项目类似业绩表”应附合同协议书【框架协议（或集采协议、入库协议、战略协议等）和单项目合同】等扫描件，类似业绩时间以单项目合同签订时间为准。”</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调整为</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“注1.“近年已完成的项目类似业绩表”应附合同协议书【框架协议（或集采协议、入库协议、战略协议等）和其协议期内单项目合同</w:t>
      </w:r>
      <w:r>
        <w:rPr>
          <w:rFonts w:hint="eastAsia" w:ascii="仿宋_GB2312" w:hAnsi="仿宋_GB2312" w:eastAsia="仿宋_GB2312" w:cs="仿宋_GB2312"/>
          <w:b/>
          <w:bCs/>
          <w:sz w:val="32"/>
          <w:szCs w:val="32"/>
          <w:lang w:val="en-US" w:eastAsia="zh-CN"/>
        </w:rPr>
        <w:t>或单个项目合同</w:t>
      </w:r>
      <w:r>
        <w:rPr>
          <w:rFonts w:hint="eastAsia" w:ascii="仿宋_GB2312" w:hAnsi="仿宋_GB2312" w:eastAsia="仿宋_GB2312" w:cs="仿宋_GB2312"/>
          <w:sz w:val="32"/>
          <w:szCs w:val="32"/>
          <w:lang w:val="en-US" w:eastAsia="zh-CN"/>
        </w:rPr>
        <w:t>】、货物进场验收证明文件（或工程竣工验收资料）等扫描件，以货物进场验收证明文件（或工程竣工验收资料）上载明的时间为准。“正在供货或新承接的项目类似业绩表”应附合同协议书【框架协议（或集采协议、入库协议、战略协议等）和其协议期内单项目合同或</w:t>
      </w:r>
      <w:r>
        <w:rPr>
          <w:rFonts w:hint="eastAsia" w:ascii="仿宋_GB2312" w:hAnsi="仿宋_GB2312" w:eastAsia="仿宋_GB2312" w:cs="仿宋_GB2312"/>
          <w:b/>
          <w:bCs/>
          <w:sz w:val="32"/>
          <w:szCs w:val="32"/>
          <w:lang w:val="en-US" w:eastAsia="zh-CN"/>
        </w:rPr>
        <w:t>单个项目合同</w:t>
      </w:r>
      <w:r>
        <w:rPr>
          <w:rFonts w:hint="eastAsia" w:ascii="仿宋_GB2312" w:hAnsi="仿宋_GB2312" w:eastAsia="仿宋_GB2312" w:cs="仿宋_GB2312"/>
          <w:sz w:val="32"/>
          <w:szCs w:val="32"/>
          <w:lang w:val="en-US" w:eastAsia="zh-CN"/>
        </w:rPr>
        <w:t>】等扫描件，类似业绩时间以单项目合同签订时间为准。”</w:t>
      </w:r>
    </w:p>
    <w:p>
      <w:pPr>
        <w:numPr>
          <w:ilvl w:val="0"/>
          <w:numId w:val="1"/>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第四章资格预审申请文件格式中《（二）近年（2019年01月01日至申请截止时间）已完成或正在供货或新承接的类似工程业绩表》的“（2）单项目合同乙方与申请人的关系证明需提供下列任何一种证明资料即可：”</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调整为</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“（2）单项目合同乙方与申请人的关系证明需提供下列任何一种证明资料即可</w:t>
      </w:r>
      <w:r>
        <w:rPr>
          <w:rFonts w:hint="eastAsia" w:ascii="仿宋_GB2312" w:hAnsi="仿宋_GB2312" w:eastAsia="仿宋_GB2312" w:cs="仿宋_GB2312"/>
          <w:b/>
          <w:bCs/>
          <w:sz w:val="32"/>
          <w:szCs w:val="32"/>
          <w:lang w:val="en-US" w:eastAsia="zh-CN"/>
        </w:rPr>
        <w:t>（同时适用于提供单个项目合同的情况）</w:t>
      </w:r>
      <w:r>
        <w:rPr>
          <w:rFonts w:hint="eastAsia" w:ascii="仿宋_GB2312" w:hAnsi="仿宋_GB2312" w:eastAsia="仿宋_GB2312" w:cs="仿宋_GB2312"/>
          <w:sz w:val="32"/>
          <w:szCs w:val="32"/>
          <w:lang w:val="en-US" w:eastAsia="zh-CN"/>
        </w:rPr>
        <w:t>：”</w:t>
      </w:r>
    </w:p>
    <w:p>
      <w:pPr>
        <w:numPr>
          <w:ilvl w:val="0"/>
          <w:numId w:val="0"/>
        </w:numPr>
        <w:spacing w:line="360" w:lineRule="auto"/>
        <w:jc w:val="both"/>
        <w:rPr>
          <w:rFonts w:hint="default" w:ascii="仿宋_GB2312" w:hAnsi="黑体" w:eastAsia="仿宋_GB2312" w:cs="Times New Roman"/>
          <w:kern w:val="0"/>
          <w:sz w:val="32"/>
          <w:szCs w:val="32"/>
          <w:highlight w:val="none"/>
          <w:lang w:val="en-US" w:eastAsia="zh-CN"/>
        </w:rPr>
      </w:pPr>
    </w:p>
    <w:p>
      <w:pPr>
        <w:pStyle w:val="2"/>
        <w:rPr>
          <w:rFonts w:hint="default"/>
          <w:lang w:val="en-US" w:eastAsia="zh-CN"/>
        </w:rPr>
      </w:pPr>
    </w:p>
    <w:p>
      <w:pPr>
        <w:rPr>
          <w:rFonts w:hint="eastAsia" w:ascii="仿宋_GB2312" w:hAnsi="黑体" w:eastAsia="仿宋_GB2312" w:cs="Times New Roman"/>
          <w:kern w:val="0"/>
          <w:sz w:val="32"/>
          <w:szCs w:val="32"/>
          <w:highlight w:val="none"/>
          <w:lang w:val="en-US" w:eastAsia="zh-CN"/>
        </w:rPr>
      </w:pPr>
    </w:p>
    <w:p>
      <w:pPr>
        <w:numPr>
          <w:ilvl w:val="0"/>
          <w:numId w:val="0"/>
        </w:numPr>
        <w:spacing w:line="360" w:lineRule="auto"/>
        <w:ind w:firstLine="640" w:firstLineChars="200"/>
        <w:jc w:val="right"/>
        <w:rPr>
          <w:rFonts w:hint="eastAsia" w:ascii="仿宋_GB2312" w:hAnsi="黑体" w:eastAsia="仿宋_GB2312" w:cs="Times New Roman"/>
          <w:kern w:val="0"/>
          <w:sz w:val="32"/>
          <w:szCs w:val="32"/>
          <w:highlight w:val="none"/>
          <w:lang w:val="en-US" w:eastAsia="zh-CN"/>
        </w:rPr>
      </w:pPr>
      <w:r>
        <w:rPr>
          <w:rFonts w:hint="eastAsia" w:ascii="仿宋_GB2312" w:hAnsi="黑体" w:eastAsia="仿宋_GB2312" w:cs="Times New Roman"/>
          <w:kern w:val="0"/>
          <w:sz w:val="32"/>
          <w:szCs w:val="32"/>
          <w:highlight w:val="none"/>
          <w:lang w:val="en-US" w:eastAsia="zh-CN"/>
        </w:rPr>
        <w:t>成都轨道城市投资集团有限公司</w:t>
      </w:r>
    </w:p>
    <w:p>
      <w:pPr>
        <w:pStyle w:val="2"/>
        <w:jc w:val="right"/>
        <w:rPr>
          <w:rFonts w:hint="default"/>
          <w:lang w:val="en-US" w:eastAsia="zh-CN"/>
        </w:rPr>
      </w:pPr>
    </w:p>
    <w:p>
      <w:pPr>
        <w:numPr>
          <w:ilvl w:val="0"/>
          <w:numId w:val="0"/>
        </w:numPr>
        <w:spacing w:line="360" w:lineRule="auto"/>
        <w:ind w:firstLine="640" w:firstLineChars="200"/>
        <w:jc w:val="right"/>
        <w:rPr>
          <w:rFonts w:hint="default" w:ascii="仿宋_GB2312" w:hAnsi="黑体" w:eastAsia="仿宋_GB2312" w:cs="Times New Roman"/>
          <w:kern w:val="0"/>
          <w:sz w:val="32"/>
          <w:szCs w:val="32"/>
          <w:highlight w:val="none"/>
          <w:lang w:val="en-US" w:eastAsia="zh-CN"/>
        </w:rPr>
      </w:pPr>
      <w:r>
        <w:rPr>
          <w:rFonts w:hint="default" w:ascii="仿宋_GB2312" w:hAnsi="黑体" w:eastAsia="仿宋_GB2312" w:cs="Times New Roman"/>
          <w:kern w:val="0"/>
          <w:sz w:val="32"/>
          <w:szCs w:val="32"/>
          <w:highlight w:val="none"/>
          <w:lang w:val="en-US" w:eastAsia="zh-CN"/>
        </w:rPr>
        <w:t>成都城投置地（集团）有限公司</w:t>
      </w:r>
    </w:p>
    <w:p>
      <w:pPr>
        <w:pStyle w:val="2"/>
        <w:rPr>
          <w:rFonts w:hint="default"/>
          <w:highlight w:val="none"/>
          <w:lang w:val="en-US" w:eastAsia="zh-CN"/>
        </w:rPr>
      </w:pPr>
    </w:p>
    <w:p>
      <w:pPr>
        <w:pStyle w:val="2"/>
        <w:jc w:val="right"/>
        <w:rPr>
          <w:rFonts w:hint="default"/>
          <w:lang w:val="en-US" w:eastAsia="zh-CN"/>
        </w:rPr>
      </w:pPr>
      <w:r>
        <w:rPr>
          <w:rFonts w:hint="eastAsia" w:ascii="仿宋_GB2312" w:hAnsi="黑体" w:eastAsia="仿宋_GB2312" w:cs="Times New Roman"/>
          <w:kern w:val="0"/>
          <w:sz w:val="32"/>
          <w:szCs w:val="32"/>
          <w:highlight w:val="none"/>
          <w:lang w:val="en-US" w:eastAsia="zh-CN"/>
        </w:rPr>
        <w:t>202</w:t>
      </w:r>
      <w:bookmarkStart w:id="7" w:name="_GoBack"/>
      <w:bookmarkEnd w:id="7"/>
      <w:r>
        <w:rPr>
          <w:rFonts w:hint="eastAsia" w:ascii="仿宋_GB2312" w:hAnsi="黑体" w:eastAsia="仿宋_GB2312" w:cs="Times New Roman"/>
          <w:kern w:val="0"/>
          <w:sz w:val="32"/>
          <w:szCs w:val="32"/>
          <w:highlight w:val="none"/>
          <w:lang w:val="en-US" w:eastAsia="zh-CN"/>
        </w:rPr>
        <w:t>3年6月28日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F9BE90"/>
    <w:multiLevelType w:val="singleLevel"/>
    <w:tmpl w:val="B0F9BE90"/>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4DD8"/>
    <w:rsid w:val="01704D7D"/>
    <w:rsid w:val="01B56F70"/>
    <w:rsid w:val="02A44F8C"/>
    <w:rsid w:val="070613B3"/>
    <w:rsid w:val="0CF0460C"/>
    <w:rsid w:val="11233CFA"/>
    <w:rsid w:val="11561D6B"/>
    <w:rsid w:val="12BD14C3"/>
    <w:rsid w:val="144E1E6D"/>
    <w:rsid w:val="14A038D7"/>
    <w:rsid w:val="1B8C43D1"/>
    <w:rsid w:val="1D8A1135"/>
    <w:rsid w:val="229430E8"/>
    <w:rsid w:val="22AA7432"/>
    <w:rsid w:val="270E63C7"/>
    <w:rsid w:val="28A86C0D"/>
    <w:rsid w:val="29395775"/>
    <w:rsid w:val="2B5A795E"/>
    <w:rsid w:val="2CB21480"/>
    <w:rsid w:val="2F8E5CD7"/>
    <w:rsid w:val="320466D8"/>
    <w:rsid w:val="3245679B"/>
    <w:rsid w:val="33C9723B"/>
    <w:rsid w:val="33EA5253"/>
    <w:rsid w:val="34945CD8"/>
    <w:rsid w:val="35734442"/>
    <w:rsid w:val="3A123407"/>
    <w:rsid w:val="3A9B0620"/>
    <w:rsid w:val="40022B70"/>
    <w:rsid w:val="410626E0"/>
    <w:rsid w:val="421A0190"/>
    <w:rsid w:val="4C6F2FED"/>
    <w:rsid w:val="4D4376E7"/>
    <w:rsid w:val="4FEC27C1"/>
    <w:rsid w:val="51B44726"/>
    <w:rsid w:val="52107DC0"/>
    <w:rsid w:val="55357EC8"/>
    <w:rsid w:val="55527DED"/>
    <w:rsid w:val="56B54469"/>
    <w:rsid w:val="58534941"/>
    <w:rsid w:val="5A6C7EFC"/>
    <w:rsid w:val="5AD374F3"/>
    <w:rsid w:val="5BBF4739"/>
    <w:rsid w:val="5E294985"/>
    <w:rsid w:val="612475EC"/>
    <w:rsid w:val="635E31E6"/>
    <w:rsid w:val="66FF2E65"/>
    <w:rsid w:val="676415D7"/>
    <w:rsid w:val="68714849"/>
    <w:rsid w:val="6ADB0FA1"/>
    <w:rsid w:val="6D64567A"/>
    <w:rsid w:val="6DEC7941"/>
    <w:rsid w:val="6EB57578"/>
    <w:rsid w:val="6F7B2461"/>
    <w:rsid w:val="6FD65A8B"/>
    <w:rsid w:val="721368FB"/>
    <w:rsid w:val="724C3EE0"/>
    <w:rsid w:val="72B55527"/>
    <w:rsid w:val="72BE3BC8"/>
    <w:rsid w:val="72D3736E"/>
    <w:rsid w:val="7A4C52F0"/>
    <w:rsid w:val="7B0D08CA"/>
    <w:rsid w:val="7F77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line="360" w:lineRule="auto"/>
      <w:outlineLvl w:val="2"/>
    </w:pPr>
    <w:rPr>
      <w:b/>
      <w:bCs/>
      <w:sz w:val="24"/>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after="120"/>
    </w:pPr>
    <w:rPr>
      <w:lang w:val="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2021-06-17T03:55:00Z</dcterms:created>
  <dc:creator>HP</dc:creator>
  <cp:lastModifiedBy>觞人</cp:lastModifiedBy>
  <cp:lastPrinted>2021-06-17T06:48:00Z</cp:lastPrinted>
  <dcterms:modified xsi:type="dcterms:W3CDTF">2023-06-28T11:07:19Z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