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CA74B">
      <w:pPr>
        <w:shd w:val="clear"/>
        <w:jc w:val="center"/>
        <w:rPr>
          <w:rFonts w:hint="eastAsia" w:ascii="宋体" w:hAnsi="宋体" w:eastAsia="宋体" w:cs="宋体"/>
          <w:b/>
          <w:bCs/>
          <w:color w:val="auto"/>
          <w:sz w:val="44"/>
          <w:szCs w:val="44"/>
          <w:lang w:val="en-US" w:eastAsia="zh-CN"/>
        </w:rPr>
      </w:pPr>
      <w:bookmarkStart w:id="0" w:name="_GoBack"/>
      <w:r>
        <w:drawing>
          <wp:anchor distT="0" distB="0" distL="114300" distR="114300" simplePos="0" relativeHeight="251659264" behindDoc="0" locked="0" layoutInCell="1" allowOverlap="1">
            <wp:simplePos x="0" y="0"/>
            <wp:positionH relativeFrom="column">
              <wp:posOffset>-255270</wp:posOffset>
            </wp:positionH>
            <wp:positionV relativeFrom="paragraph">
              <wp:posOffset>-121920</wp:posOffset>
            </wp:positionV>
            <wp:extent cx="5951220" cy="5137150"/>
            <wp:effectExtent l="0" t="0" r="1143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51220" cy="5137150"/>
                    </a:xfrm>
                    <a:prstGeom prst="rect">
                      <a:avLst/>
                    </a:prstGeom>
                    <a:noFill/>
                    <a:ln>
                      <a:noFill/>
                    </a:ln>
                  </pic:spPr>
                </pic:pic>
              </a:graphicData>
            </a:graphic>
          </wp:anchor>
        </w:drawing>
      </w:r>
      <w:bookmarkEnd w:id="0"/>
      <w:r>
        <w:rPr>
          <w:rFonts w:hint="eastAsia" w:ascii="宋体" w:hAnsi="宋体" w:eastAsia="宋体" w:cs="宋体"/>
          <w:b/>
          <w:bCs/>
          <w:color w:val="auto"/>
          <w:sz w:val="44"/>
          <w:szCs w:val="44"/>
          <w:lang w:val="en-US" w:eastAsia="zh-CN"/>
        </w:rPr>
        <w:t>新川30亩住宅项目、新川17亩住宅项目</w:t>
      </w:r>
    </w:p>
    <w:p w14:paraId="2B3BF363">
      <w:pPr>
        <w:shd w:val="clea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甲供材料（设备）采购技术标准</w:t>
      </w:r>
    </w:p>
    <w:p w14:paraId="7DBA5879">
      <w:pPr>
        <w:shd w:val="clear"/>
        <w:jc w:val="center"/>
        <w:rPr>
          <w:rFonts w:hint="eastAsia" w:ascii="宋体" w:hAnsi="宋体" w:eastAsia="宋体" w:cs="宋体"/>
          <w:b/>
          <w:bCs/>
          <w:color w:val="auto"/>
          <w:sz w:val="44"/>
          <w:szCs w:val="44"/>
          <w:lang w:val="en-US" w:eastAsia="zh-CN"/>
        </w:rPr>
      </w:pPr>
    </w:p>
    <w:p w14:paraId="23A1BBBA">
      <w:pPr>
        <w:shd w:val="clear"/>
        <w:jc w:val="center"/>
        <w:rPr>
          <w:rFonts w:hint="eastAsia" w:ascii="宋体" w:hAnsi="宋体" w:eastAsia="宋体" w:cs="宋体"/>
          <w:b/>
          <w:bCs/>
          <w:color w:val="auto"/>
          <w:sz w:val="44"/>
          <w:szCs w:val="44"/>
          <w:lang w:val="en-US" w:eastAsia="zh-CN"/>
        </w:rPr>
      </w:pPr>
    </w:p>
    <w:p w14:paraId="2CEF02B7">
      <w:pPr>
        <w:shd w:val="clear"/>
        <w:jc w:val="center"/>
        <w:rPr>
          <w:rFonts w:hint="eastAsia" w:ascii="宋体" w:hAnsi="宋体" w:eastAsia="宋体" w:cs="宋体"/>
          <w:b/>
          <w:bCs/>
          <w:color w:val="auto"/>
          <w:sz w:val="44"/>
          <w:szCs w:val="44"/>
          <w:lang w:val="en-US" w:eastAsia="zh-CN"/>
        </w:rPr>
      </w:pPr>
    </w:p>
    <w:p w14:paraId="39FF1FC5">
      <w:pPr>
        <w:shd w:val="clear"/>
        <w:jc w:val="center"/>
        <w:rPr>
          <w:rFonts w:hint="eastAsia" w:ascii="宋体" w:hAnsi="宋体" w:eastAsia="宋体" w:cs="宋体"/>
          <w:b/>
          <w:bCs/>
          <w:color w:val="auto"/>
          <w:sz w:val="44"/>
          <w:szCs w:val="44"/>
          <w:lang w:val="en-US" w:eastAsia="zh-CN"/>
        </w:rPr>
      </w:pPr>
    </w:p>
    <w:p w14:paraId="44EE5A45">
      <w:pPr>
        <w:shd w:val="clear"/>
        <w:jc w:val="center"/>
        <w:rPr>
          <w:rFonts w:hint="eastAsia" w:ascii="宋体" w:hAnsi="宋体" w:eastAsia="宋体" w:cs="宋体"/>
          <w:b/>
          <w:bCs/>
          <w:color w:val="auto"/>
          <w:sz w:val="44"/>
          <w:szCs w:val="44"/>
          <w:lang w:val="en-US" w:eastAsia="zh-CN"/>
        </w:rPr>
      </w:pPr>
    </w:p>
    <w:p w14:paraId="72672BEA">
      <w:pPr>
        <w:shd w:val="clear"/>
        <w:jc w:val="center"/>
        <w:rPr>
          <w:rFonts w:hint="eastAsia" w:ascii="宋体" w:hAnsi="宋体" w:eastAsia="宋体" w:cs="宋体"/>
          <w:b/>
          <w:bCs/>
          <w:color w:val="auto"/>
          <w:sz w:val="44"/>
          <w:szCs w:val="44"/>
          <w:lang w:val="en-US" w:eastAsia="zh-CN"/>
        </w:rPr>
      </w:pPr>
    </w:p>
    <w:p w14:paraId="35F9EDC6">
      <w:pPr>
        <w:shd w:val="clear"/>
        <w:jc w:val="center"/>
        <w:rPr>
          <w:rFonts w:hint="eastAsia" w:ascii="宋体" w:hAnsi="宋体" w:eastAsia="宋体" w:cs="宋体"/>
          <w:b/>
          <w:bCs/>
          <w:color w:val="auto"/>
          <w:sz w:val="44"/>
          <w:szCs w:val="44"/>
          <w:lang w:val="en-US" w:eastAsia="zh-CN"/>
        </w:rPr>
      </w:pPr>
    </w:p>
    <w:p w14:paraId="4424F84B">
      <w:pPr>
        <w:shd w:val="clear"/>
        <w:jc w:val="center"/>
        <w:rPr>
          <w:rFonts w:hint="eastAsia" w:ascii="宋体" w:hAnsi="宋体" w:eastAsia="宋体" w:cs="宋体"/>
          <w:b/>
          <w:bCs/>
          <w:color w:val="auto"/>
          <w:sz w:val="44"/>
          <w:szCs w:val="44"/>
          <w:lang w:val="en-US" w:eastAsia="zh-CN"/>
        </w:rPr>
      </w:pPr>
    </w:p>
    <w:p w14:paraId="64488693">
      <w:pPr>
        <w:shd w:val="clear"/>
        <w:jc w:val="center"/>
        <w:rPr>
          <w:rFonts w:hint="eastAsia" w:ascii="宋体" w:hAnsi="宋体" w:eastAsia="宋体" w:cs="宋体"/>
          <w:b/>
          <w:bCs/>
          <w:color w:val="auto"/>
          <w:sz w:val="44"/>
          <w:szCs w:val="44"/>
          <w:lang w:val="en-US" w:eastAsia="zh-CN"/>
        </w:rPr>
      </w:pPr>
    </w:p>
    <w:p w14:paraId="1042FA06">
      <w:pPr>
        <w:shd w:val="clear"/>
        <w:jc w:val="center"/>
        <w:rPr>
          <w:rFonts w:hint="eastAsia" w:ascii="宋体" w:hAnsi="宋体" w:eastAsia="宋体" w:cs="宋体"/>
          <w:b/>
          <w:bCs/>
          <w:color w:val="auto"/>
          <w:sz w:val="44"/>
          <w:szCs w:val="44"/>
          <w:lang w:val="en-US" w:eastAsia="zh-CN"/>
        </w:rPr>
      </w:pPr>
    </w:p>
    <w:p w14:paraId="62666164">
      <w:pPr>
        <w:shd w:val="clear"/>
        <w:jc w:val="center"/>
        <w:rPr>
          <w:rFonts w:hint="eastAsia" w:ascii="宋体" w:hAnsi="宋体" w:eastAsia="宋体" w:cs="宋体"/>
          <w:b/>
          <w:bCs/>
          <w:color w:val="auto"/>
          <w:sz w:val="44"/>
          <w:szCs w:val="44"/>
          <w:lang w:val="en-US" w:eastAsia="zh-CN"/>
        </w:rPr>
      </w:pPr>
    </w:p>
    <w:p w14:paraId="02C8AED1">
      <w:pPr>
        <w:shd w:val="clear"/>
        <w:jc w:val="center"/>
        <w:rPr>
          <w:rFonts w:hint="eastAsia" w:ascii="宋体" w:hAnsi="宋体" w:eastAsia="宋体" w:cs="宋体"/>
          <w:b/>
          <w:bCs/>
          <w:color w:val="auto"/>
          <w:sz w:val="44"/>
          <w:szCs w:val="44"/>
          <w:lang w:val="en-US" w:eastAsia="zh-CN"/>
        </w:rPr>
      </w:pPr>
    </w:p>
    <w:p w14:paraId="41855E07">
      <w:pPr>
        <w:shd w:val="clea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7B79192A">
      <w:pPr>
        <w:shd w:val="clea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甲供材料（设备）品类及供货计划</w:t>
      </w:r>
    </w:p>
    <w:p w14:paraId="754417EB">
      <w:pPr>
        <w:shd w:val="clear"/>
        <w:jc w:val="center"/>
        <w:rPr>
          <w:rFonts w:hint="eastAsia" w:ascii="宋体" w:hAnsi="宋体" w:eastAsia="宋体" w:cs="宋体"/>
          <w:b/>
          <w:bCs/>
          <w:color w:val="auto"/>
          <w:sz w:val="44"/>
          <w:szCs w:val="44"/>
          <w:lang w:val="en-US" w:eastAsia="zh-CN"/>
        </w:rPr>
      </w:pPr>
    </w:p>
    <w:tbl>
      <w:tblPr>
        <w:tblStyle w:val="2"/>
        <w:tblW w:w="9289" w:type="dxa"/>
        <w:tblInd w:w="113" w:type="dxa"/>
        <w:tblLayout w:type="fixed"/>
        <w:tblCellMar>
          <w:top w:w="0" w:type="dxa"/>
          <w:left w:w="108" w:type="dxa"/>
          <w:bottom w:w="0" w:type="dxa"/>
          <w:right w:w="108" w:type="dxa"/>
        </w:tblCellMar>
      </w:tblPr>
      <w:tblGrid>
        <w:gridCol w:w="946"/>
        <w:gridCol w:w="4957"/>
        <w:gridCol w:w="3386"/>
      </w:tblGrid>
      <w:tr w14:paraId="05A8E917">
        <w:tblPrEx>
          <w:tblCellMar>
            <w:top w:w="0" w:type="dxa"/>
            <w:left w:w="108" w:type="dxa"/>
            <w:bottom w:w="0" w:type="dxa"/>
            <w:right w:w="108" w:type="dxa"/>
          </w:tblCellMar>
        </w:tblPrEx>
        <w:trPr>
          <w:trHeight w:val="349"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DD733">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color w:val="auto"/>
                <w:spacing w:val="6"/>
                <w:sz w:val="28"/>
                <w:szCs w:val="28"/>
              </w:rPr>
            </w:pPr>
            <w:r>
              <w:rPr>
                <w:rFonts w:hint="eastAsia" w:ascii="宋体" w:hAnsi="宋体" w:eastAsia="宋体" w:cs="宋体"/>
                <w:b/>
                <w:bCs/>
                <w:color w:val="auto"/>
                <w:spacing w:val="6"/>
                <w:sz w:val="28"/>
                <w:szCs w:val="28"/>
              </w:rPr>
              <w:t>序号</w:t>
            </w:r>
          </w:p>
        </w:tc>
        <w:tc>
          <w:tcPr>
            <w:tcW w:w="4957" w:type="dxa"/>
            <w:tcBorders>
              <w:top w:val="single" w:color="auto" w:sz="4" w:space="0"/>
              <w:left w:val="nil"/>
              <w:bottom w:val="single" w:color="auto" w:sz="4" w:space="0"/>
              <w:right w:val="single" w:color="auto" w:sz="4" w:space="0"/>
            </w:tcBorders>
            <w:shd w:val="clear" w:color="auto" w:fill="auto"/>
            <w:noWrap/>
            <w:vAlign w:val="center"/>
          </w:tcPr>
          <w:p w14:paraId="3CD913FE">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color w:val="auto"/>
                <w:spacing w:val="6"/>
                <w:sz w:val="28"/>
                <w:szCs w:val="28"/>
                <w:lang w:val="en-US" w:eastAsia="zh-CN"/>
              </w:rPr>
            </w:pPr>
            <w:r>
              <w:rPr>
                <w:rFonts w:hint="eastAsia" w:ascii="宋体" w:hAnsi="宋体" w:eastAsia="宋体" w:cs="宋体"/>
                <w:b/>
                <w:bCs/>
                <w:color w:val="auto"/>
                <w:spacing w:val="6"/>
                <w:sz w:val="28"/>
                <w:szCs w:val="28"/>
                <w:lang w:val="en-US" w:eastAsia="zh-CN"/>
              </w:rPr>
              <w:t>品类</w:t>
            </w:r>
          </w:p>
        </w:tc>
        <w:tc>
          <w:tcPr>
            <w:tcW w:w="3386" w:type="dxa"/>
            <w:tcBorders>
              <w:top w:val="single" w:color="auto" w:sz="4" w:space="0"/>
              <w:left w:val="nil"/>
              <w:bottom w:val="single" w:color="auto" w:sz="4" w:space="0"/>
              <w:right w:val="single" w:color="auto" w:sz="4" w:space="0"/>
            </w:tcBorders>
            <w:shd w:val="clear" w:color="auto" w:fill="auto"/>
            <w:noWrap/>
            <w:vAlign w:val="center"/>
          </w:tcPr>
          <w:p w14:paraId="1ACCF69F">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color w:val="auto"/>
                <w:spacing w:val="6"/>
                <w:sz w:val="28"/>
                <w:szCs w:val="28"/>
                <w:lang w:val="en-US" w:eastAsia="zh-CN"/>
              </w:rPr>
            </w:pPr>
            <w:r>
              <w:rPr>
                <w:rFonts w:hint="eastAsia" w:ascii="宋体" w:hAnsi="宋体" w:eastAsia="宋体" w:cs="宋体"/>
                <w:b/>
                <w:bCs/>
                <w:color w:val="auto"/>
                <w:spacing w:val="6"/>
                <w:sz w:val="28"/>
                <w:szCs w:val="28"/>
                <w:lang w:val="en-US" w:eastAsia="zh-CN"/>
              </w:rPr>
              <w:t>暂定进场计划</w:t>
            </w:r>
          </w:p>
        </w:tc>
      </w:tr>
      <w:tr w14:paraId="0C90A40C">
        <w:tblPrEx>
          <w:tblCellMar>
            <w:top w:w="0" w:type="dxa"/>
            <w:left w:w="108" w:type="dxa"/>
            <w:bottom w:w="0" w:type="dxa"/>
            <w:right w:w="108" w:type="dxa"/>
          </w:tblCellMar>
        </w:tblPrEx>
        <w:trPr>
          <w:trHeight w:val="554"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14:paraId="4DF938E4">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1</w:t>
            </w:r>
          </w:p>
        </w:tc>
        <w:tc>
          <w:tcPr>
            <w:tcW w:w="4957" w:type="dxa"/>
            <w:tcBorders>
              <w:top w:val="nil"/>
              <w:left w:val="nil"/>
              <w:bottom w:val="single" w:color="auto" w:sz="4" w:space="0"/>
              <w:right w:val="single" w:color="auto" w:sz="4" w:space="0"/>
            </w:tcBorders>
            <w:shd w:val="clear" w:color="auto" w:fill="auto"/>
            <w:noWrap/>
            <w:vAlign w:val="center"/>
          </w:tcPr>
          <w:p w14:paraId="5D2E4AF8">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小五金</w:t>
            </w:r>
          </w:p>
        </w:tc>
        <w:tc>
          <w:tcPr>
            <w:tcW w:w="3386" w:type="dxa"/>
            <w:tcBorders>
              <w:top w:val="nil"/>
              <w:left w:val="nil"/>
              <w:bottom w:val="single" w:color="auto" w:sz="4" w:space="0"/>
              <w:right w:val="single" w:color="auto" w:sz="4" w:space="0"/>
            </w:tcBorders>
            <w:shd w:val="clear" w:color="auto" w:fill="auto"/>
            <w:noWrap/>
            <w:vAlign w:val="center"/>
          </w:tcPr>
          <w:p w14:paraId="57577D79">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2026年5月</w:t>
            </w:r>
          </w:p>
        </w:tc>
      </w:tr>
    </w:tbl>
    <w:p w14:paraId="41FBA026">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说明：</w:t>
      </w:r>
    </w:p>
    <w:p w14:paraId="7ACFF7E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1、售楼部、展示样板间、交付样板间、架空层、地下室、总平等所有展示区域涉及的所有品类材料（设备）暂定2025年4月10日前进场。</w:t>
      </w:r>
    </w:p>
    <w:p w14:paraId="69AC06B6">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2、上述进场计划为暂定，具体以招标人提供的实际通知进场时间为准。</w:t>
      </w:r>
    </w:p>
    <w:p w14:paraId="30AC7FBB">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color w:val="auto"/>
          <w:sz w:val="21"/>
          <w:szCs w:val="21"/>
          <w:lang w:val="en-US" w:eastAsia="zh-CN"/>
        </w:rPr>
        <w:t>3、根据项目实际情况，招标人有权要求分批次进场。</w:t>
      </w:r>
    </w:p>
    <w:p w14:paraId="31FA12A5">
      <w:pPr>
        <w:shd w:val="clear"/>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br w:type="page"/>
      </w:r>
    </w:p>
    <w:p w14:paraId="3C8A0C83">
      <w:pPr>
        <w:pageBreakBefore w:val="0"/>
        <w:widowControl w:val="0"/>
        <w:kinsoku/>
        <w:wordWrap/>
        <w:overflowPunct/>
        <w:topLinePunct w:val="0"/>
        <w:bidi w:val="0"/>
        <w:adjustRightInd/>
        <w:spacing w:line="360" w:lineRule="auto"/>
        <w:jc w:val="center"/>
        <w:textAlignment w:val="auto"/>
        <w:rPr>
          <w:rFonts w:hint="eastAsia" w:ascii="宋体" w:hAnsi="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浴室小五金招标技术要求</w:t>
      </w:r>
    </w:p>
    <w:p w14:paraId="261F4B2D">
      <w:pPr>
        <w:pageBreakBefore w:val="0"/>
        <w:widowControl w:val="0"/>
        <w:kinsoku/>
        <w:wordWrap/>
        <w:overflowPunct/>
        <w:topLinePunct w:val="0"/>
        <w:bidi w:val="0"/>
        <w:adjustRightIn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1、范围：</w:t>
      </w:r>
    </w:p>
    <w:p w14:paraId="35E49A8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本标准规定了浴室小五金的术语和定义，产品分类和标记，通用技术要求，毛巾杆和厕纸架技术要求，试验方法 检验规则，标志和标识，安装使用说明书，包装、运输和贮存。</w:t>
      </w:r>
    </w:p>
    <w:p w14:paraId="1D75D7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本标准适用于在民用或公用各类建筑物内与各相应配件配套后浴室小五金的生产、销售、安装和使用。--GB/T 44180-2024</w:t>
      </w:r>
    </w:p>
    <w:p w14:paraId="7B722518">
      <w:pPr>
        <w:pageBreakBefore w:val="0"/>
        <w:widowControl w:val="0"/>
        <w:kinsoku/>
        <w:wordWrap/>
        <w:overflowPunct/>
        <w:topLinePunct w:val="0"/>
        <w:bidi w:val="0"/>
        <w:adjustRightIn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2、参考标准：</w:t>
      </w:r>
    </w:p>
    <w:p w14:paraId="2B39231C">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rPr>
        <w:t>不锈钢材质</w:t>
      </w:r>
      <w:r>
        <w:rPr>
          <w:rFonts w:hint="eastAsia" w:ascii="宋体" w:hAnsi="宋体" w:eastAsia="宋体" w:cs="宋体"/>
          <w:sz w:val="21"/>
          <w:szCs w:val="21"/>
        </w:rPr>
        <w:t>：应符合相关国家标准中对不锈钢的规定，如GB/T 3280-2015《不锈钢冷轧钢板和钢带》等，常见的如304、316不锈钢，其化学成分、力学性能等需达标，确保产品具有良好的耐腐蚀性、强度和韧性。</w:t>
      </w:r>
    </w:p>
    <w:p w14:paraId="50AFBD62">
      <w:pPr>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其他材料：</w:t>
      </w:r>
      <w:r>
        <w:rPr>
          <w:rFonts w:hint="eastAsia" w:ascii="宋体" w:hAnsi="宋体" w:eastAsia="宋体" w:cs="宋体"/>
          <w:sz w:val="21"/>
          <w:szCs w:val="21"/>
        </w:rPr>
        <w:t>若产品中包含其他金属或非金属材料，如塑料配件、橡胶垫脚等，也需符合相应的国家标准或行业标准，如塑料应符合GB/T 10009-2008《丙烯腈-丁二烯-苯乙烯（ABS）塑料挤出板材》等。</w:t>
      </w:r>
    </w:p>
    <w:p w14:paraId="028AE745">
      <w:pPr>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外观要求</w:t>
      </w:r>
    </w:p>
    <w:p w14:paraId="1B213749">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w:t>
      </w:r>
      <w:r>
        <w:rPr>
          <w:rFonts w:hint="eastAsia" w:ascii="宋体" w:hAnsi="宋体" w:eastAsia="宋体" w:cs="宋体"/>
          <w:sz w:val="21"/>
          <w:szCs w:val="21"/>
        </w:rPr>
        <w:t>表面质量：产品外表涂、镀层应结合良好、组织细密、光滑均匀、色泽均匀，不得有起泡、脱层、凹陷、烧焦、露黄等缺陷，不允许有明显的重划伤及密集的小针孔、麻点等缺陷，不锈钢部分不允许变黄、褪色等。</w:t>
      </w:r>
    </w:p>
    <w:p w14:paraId="37F3F91B">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焊接质量：焊接部位应牢固，无断点、接缝凹凸不平、假焊不牢的现象，焊缝应平整、光滑，无明显的焊接缺陷。</w:t>
      </w:r>
    </w:p>
    <w:p w14:paraId="4C0AFA1E">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尺寸精度：产品的外形尺寸、安装尺寸等应符合设计要求，长度、直径等尺寸的偏差应在规定范围内，如长度≤500mm，允许偏差为±3mm；长度＞500mm，允许偏差为±5mm；直径≤100mm，允许偏差±1.0mm，直径＞100mm，允许偏差±5.0mm。</w:t>
      </w:r>
    </w:p>
    <w:p w14:paraId="4463DE20">
      <w:pPr>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性能要求</w:t>
      </w:r>
    </w:p>
    <w:p w14:paraId="0A11E6D8">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承载能力：毛巾架在安装状态下，放置部位应能承受一定的静载重量，卸载后，承载受力的部件的变形量不大于被测杆件总长的1%，各组件无松动，能正常使用，纸巾架各配件安装拆卸方便，安装后牢固。</w:t>
      </w:r>
    </w:p>
    <w:p w14:paraId="2372DCC9">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耐腐蚀性：产品应具有一定的耐腐蚀性，能在正常使用环境下长时间不生锈、不腐蚀，对于有镀层的产品，其镀层的防腐蚀性能应达到国家标准要求，如酸性盐雾试验48小时以上不出现锈蚀、起皮、起泡等现象。</w:t>
      </w:r>
    </w:p>
    <w:p w14:paraId="4D599D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按照GB/T10125和下表的规定进行试验，结果按照GB/T6461-2002的规定进行评级。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5556"/>
      </w:tblGrid>
      <w:tr w14:paraId="7A92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14:paraId="62675071">
            <w:pPr>
              <w:ind w:firstLine="630" w:firstLineChars="3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表面处理工艺</w:t>
            </w:r>
          </w:p>
        </w:tc>
        <w:tc>
          <w:tcPr>
            <w:tcW w:w="5556" w:type="dxa"/>
          </w:tcPr>
          <w:p w14:paraId="6E065C34">
            <w:pPr>
              <w:ind w:firstLine="2310" w:firstLineChars="11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试验条件</w:t>
            </w:r>
          </w:p>
        </w:tc>
      </w:tr>
      <w:tr w14:paraId="6061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14:paraId="3C7BDDC3">
            <w:pPr>
              <w:ind w:firstLine="210" w:firstLineChars="1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涂（镀）层、阳极氧化膜</w:t>
            </w:r>
          </w:p>
        </w:tc>
        <w:tc>
          <w:tcPr>
            <w:tcW w:w="5556" w:type="dxa"/>
          </w:tcPr>
          <w:p w14:paraId="7104889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乙酸盐雾（AASS）试验，24h</w:t>
            </w:r>
          </w:p>
        </w:tc>
      </w:tr>
      <w:tr w14:paraId="1232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Merge w:val="restart"/>
          </w:tcPr>
          <w:p w14:paraId="5C8B0BAC">
            <w:pPr>
              <w:ind w:firstLine="210" w:firstLineChars="1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无涂、镀层的金属件</w:t>
            </w:r>
          </w:p>
        </w:tc>
        <w:tc>
          <w:tcPr>
            <w:tcW w:w="5556" w:type="dxa"/>
          </w:tcPr>
          <w:p w14:paraId="3279E2C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不锈钢水槽：中性盐雾（NSS）试验，24h</w:t>
            </w:r>
          </w:p>
        </w:tc>
      </w:tr>
      <w:tr w14:paraId="61BF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Merge w:val="continue"/>
          </w:tcPr>
          <w:p w14:paraId="31C6F778">
            <w:pPr>
              <w:rPr>
                <w:rFonts w:hint="default" w:ascii="宋体" w:hAnsi="宋体" w:eastAsia="宋体" w:cs="宋体"/>
                <w:sz w:val="21"/>
                <w:szCs w:val="21"/>
                <w:vertAlign w:val="baseline"/>
                <w:lang w:val="en-US" w:eastAsia="zh-CN"/>
              </w:rPr>
            </w:pPr>
          </w:p>
        </w:tc>
        <w:tc>
          <w:tcPr>
            <w:tcW w:w="5556" w:type="dxa"/>
          </w:tcPr>
          <w:p w14:paraId="1513CED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其他：中性盐雾（NSS）试验，96h</w:t>
            </w:r>
          </w:p>
        </w:tc>
      </w:tr>
    </w:tbl>
    <w:p w14:paraId="020176C4">
      <w:pPr>
        <w:rPr>
          <w:rFonts w:hint="default" w:ascii="宋体" w:hAnsi="宋体" w:eastAsia="宋体" w:cs="宋体"/>
          <w:sz w:val="21"/>
          <w:szCs w:val="21"/>
          <w:lang w:val="en-US" w:eastAsia="zh-CN"/>
        </w:rPr>
      </w:pPr>
    </w:p>
    <w:p w14:paraId="61747FA2">
      <w:pPr>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安全要求</w:t>
      </w:r>
    </w:p>
    <w:p w14:paraId="1B98C877">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边缘处理：产品的边缘应光滑，无尖锐的毛刺、飞边等，以免划伤使用者。</w:t>
      </w:r>
    </w:p>
    <w:p w14:paraId="1B4B6CBB">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稳定性：安装后应整体平稳、无摆动、歪斜，各零配件连接应牢固，接口处无刮手、明显缝隙等，可调节的产品应调节方便、顺畅、无卡阻。</w:t>
      </w:r>
    </w:p>
    <w:p w14:paraId="350B88D7">
      <w:pPr>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标志、包装和说明书要求</w:t>
      </w:r>
    </w:p>
    <w:p w14:paraId="493184C2">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标志：产品上应有明显、清晰、不易涂改的商标，单件产品包装合外表面上应标明厂名、厂址、产品名称、注册商标等标记。</w:t>
      </w:r>
      <w:r>
        <w:rPr>
          <w:rFonts w:hint="eastAsia" w:ascii="宋体" w:hAnsi="宋体" w:eastAsia="宋体" w:cs="宋体"/>
          <w:sz w:val="21"/>
          <w:szCs w:val="21"/>
          <w:lang w:val="en-US" w:eastAsia="zh-CN"/>
        </w:rPr>
        <w:t>储运图示标志应符合GB/T191的规定。</w:t>
      </w:r>
    </w:p>
    <w:p w14:paraId="64C40BBC">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包装：产品应包装完好，能有效保护产品在运输和储存过程中不受损坏，包装材料应符合环保要求。</w:t>
      </w:r>
    </w:p>
    <w:p w14:paraId="72D476C0">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说明书：附有合格证和安装使用说明书、配件清单，说明书应包含产品的安装方法、使用注意事项、维护保养方法等内容。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ZjM2NTQ3M2JlNTM5YmM4NGU4NjM4NTRkYmZhYjAifQ=="/>
    <w:docVar w:name="KSO_WPS_MARK_KEY" w:val="dfa90e8e-dea1-481d-a520-39756f2ff86a"/>
  </w:docVars>
  <w:rsids>
    <w:rsidRoot w:val="00000000"/>
    <w:rsid w:val="072B6FEA"/>
    <w:rsid w:val="12876215"/>
    <w:rsid w:val="2C5524AE"/>
    <w:rsid w:val="321D6082"/>
    <w:rsid w:val="37A61CB1"/>
    <w:rsid w:val="44054362"/>
    <w:rsid w:val="46111869"/>
    <w:rsid w:val="4B840262"/>
    <w:rsid w:val="76766876"/>
    <w:rsid w:val="7D07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1327</Words>
  <Characters>1460</Characters>
  <Lines>0</Lines>
  <Paragraphs>0</Paragraphs>
  <TotalTime>0</TotalTime>
  <ScaleCrop>false</ScaleCrop>
  <LinksUpToDate>false</LinksUpToDate>
  <CharactersWithSpaces>1465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2025-01-17T06:20:00Z</dcterms:created>
  <dc:creator>11421</dc:creator>
  <cp:lastModifiedBy>中标151  9816  8816</cp:lastModifiedBy>
  <dcterms:modified xsi:type="dcterms:W3CDTF">2025-03-06T01:30:04Z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1D248D945C73453BA2F6C40B532E6FE1</vt:lpwstr>
  </property>
  <property fmtid="{D5CDD505-2E9C-101B-9397-08002B2CF9AE}" pid="4" name="KSOTemplateDocerSaveRecord">
    <vt:lpwstr>eyJoZGlkIjoiNmE3ODIzNGIyNzhhOWVlNjlmYWRiNDZhZDcyZWJhYjIiLCJ1c2VySWQiOiIxMzE5MDQ5NTMifQ==</vt:lpwstr>
  </property>
</Properties>
</file>